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ind w:firstLine="1446" w:firstLineChars="200"/>
        <w:jc w:val="right"/>
      </w:pPr>
      <w:r>
        <w:rPr>
          <w:rFonts w:hint="eastAsia" w:ascii="宋体" w:hAnsi="宋体"/>
          <w:b/>
          <w:bCs/>
          <w:color w:val="000000"/>
          <w:sz w:val="72"/>
          <w:shd w:val="clear" w:color="auto" w:fill="FFFFFF"/>
        </w:rPr>
        <w:t xml:space="preserve">  </w:t>
      </w:r>
    </w:p>
    <w:p>
      <w:pPr>
        <w:widowControl/>
        <w:shd w:val="clear" w:color="auto" w:fill="FFFFFF"/>
        <w:spacing w:line="480" w:lineRule="exact"/>
        <w:rPr>
          <w:rFonts w:ascii="仿宋" w:hAnsi="仿宋" w:cs="仿宋"/>
          <w:sz w:val="28"/>
          <w:szCs w:val="28"/>
        </w:rPr>
      </w:pPr>
      <w:r>
        <w:rPr>
          <w:rFonts w:hint="eastAsia" w:ascii="仿宋" w:hAnsi="仿宋" w:cs="仿宋"/>
          <w:sz w:val="28"/>
          <w:szCs w:val="28"/>
        </w:rPr>
        <w:t>附件1：</w:t>
      </w:r>
    </w:p>
    <w:p>
      <w:pPr>
        <w:pStyle w:val="20"/>
        <w:rPr>
          <w:rFonts w:ascii="宋体" w:hAnsi="宋体" w:cs="宋体"/>
          <w:bCs/>
        </w:rPr>
      </w:pPr>
      <w:r>
        <w:rPr>
          <w:rFonts w:hint="eastAsia" w:ascii="宋体" w:hAnsi="宋体" w:cs="宋体"/>
          <w:bCs/>
        </w:rPr>
        <w:t>2018级物流管理专业人才培养方案</w:t>
      </w:r>
    </w:p>
    <w:p>
      <w:pPr>
        <w:pStyle w:val="2"/>
      </w:pPr>
      <w:r>
        <w:rPr>
          <w:rFonts w:hint="eastAsia"/>
        </w:rPr>
        <w:t>一、</w:t>
      </w:r>
      <w:r>
        <w:rPr>
          <w:rFonts w:hint="eastAsia"/>
        </w:rPr>
        <w:tab/>
      </w:r>
      <w:r>
        <w:rPr>
          <w:rFonts w:hint="eastAsia"/>
        </w:rPr>
        <w:t>专业名称及代码</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专业名称：物流管理</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专业代码：630903</w:t>
      </w:r>
    </w:p>
    <w:p>
      <w:pPr>
        <w:pStyle w:val="2"/>
        <w:numPr>
          <w:ilvl w:val="0"/>
          <w:numId w:val="1"/>
        </w:numPr>
      </w:pPr>
      <w:r>
        <w:rPr>
          <w:rFonts w:hint="eastAsia"/>
        </w:rPr>
        <w:t>入学要求</w:t>
      </w:r>
    </w:p>
    <w:p>
      <w:pPr>
        <w:ind w:firstLine="420"/>
      </w:pPr>
      <w:r>
        <w:rPr>
          <w:rFonts w:hint="eastAsia"/>
        </w:rPr>
        <w:t>高中阶段教育毕业生或具有同等学力者。</w:t>
      </w:r>
    </w:p>
    <w:p>
      <w:pPr>
        <w:pStyle w:val="2"/>
        <w:numPr>
          <w:ilvl w:val="0"/>
          <w:numId w:val="1"/>
        </w:numPr>
      </w:pPr>
      <w:r>
        <w:rPr>
          <w:rFonts w:hint="eastAsia"/>
        </w:rPr>
        <w:t>修业年限</w:t>
      </w:r>
    </w:p>
    <w:p>
      <w:pPr>
        <w:ind w:firstLine="420"/>
      </w:pPr>
      <w:r>
        <w:rPr>
          <w:rStyle w:val="16"/>
          <w:rFonts w:hint="eastAsia"/>
        </w:rPr>
        <w:t>1. 基本学制：</w:t>
      </w:r>
      <w:r>
        <w:rPr>
          <w:rFonts w:hint="eastAsia"/>
        </w:rPr>
        <w:t>3年</w:t>
      </w:r>
    </w:p>
    <w:p>
      <w:pPr>
        <w:ind w:firstLine="420"/>
      </w:pPr>
      <w:r>
        <w:rPr>
          <w:rStyle w:val="16"/>
          <w:rFonts w:hint="eastAsia"/>
        </w:rPr>
        <w:t>2. 修业年限：</w:t>
      </w:r>
      <w:r>
        <w:rPr>
          <w:rFonts w:hint="eastAsia"/>
        </w:rPr>
        <w:t>在校学习年限不少于2年，累计修业年限不超过5年（含休学）</w:t>
      </w:r>
    </w:p>
    <w:p>
      <w:pPr>
        <w:pStyle w:val="2"/>
      </w:pPr>
      <w:r>
        <w:rPr>
          <w:rFonts w:hint="eastAsia"/>
        </w:rPr>
        <w:t>四、职业面向</w:t>
      </w:r>
    </w:p>
    <w:tbl>
      <w:tblPr>
        <w:tblStyle w:val="11"/>
        <w:tblpPr w:leftFromText="180" w:rightFromText="180" w:vertAnchor="text" w:horzAnchor="margin" w:tblpXSpec="center" w:tblpY="67"/>
        <w:tblW w:w="883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6"/>
        <w:gridCol w:w="1029"/>
        <w:gridCol w:w="1174"/>
        <w:gridCol w:w="1174"/>
        <w:gridCol w:w="1906"/>
        <w:gridCol w:w="22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939" w:hRule="exact"/>
        </w:trPr>
        <w:tc>
          <w:tcPr>
            <w:tcW w:w="1286" w:type="dxa"/>
            <w:vAlign w:val="center"/>
          </w:tcPr>
          <w:p>
            <w:pPr>
              <w:spacing w:line="360" w:lineRule="exact"/>
              <w:jc w:val="center"/>
              <w:rPr>
                <w:rFonts w:ascii="仿宋" w:hAnsi="仿宋" w:cs="仿宋"/>
                <w:bCs/>
                <w:kern w:val="0"/>
              </w:rPr>
            </w:pPr>
            <w:r>
              <w:rPr>
                <w:rFonts w:hint="eastAsia" w:ascii="仿宋" w:hAnsi="仿宋" w:cs="仿宋"/>
                <w:bCs/>
                <w:kern w:val="0"/>
              </w:rPr>
              <w:t>所属专业大类（代码）</w:t>
            </w:r>
          </w:p>
        </w:tc>
        <w:tc>
          <w:tcPr>
            <w:tcW w:w="1029" w:type="dxa"/>
            <w:vAlign w:val="center"/>
          </w:tcPr>
          <w:p>
            <w:pPr>
              <w:spacing w:line="360" w:lineRule="exact"/>
              <w:jc w:val="center"/>
              <w:rPr>
                <w:rFonts w:ascii="仿宋" w:hAnsi="仿宋" w:cs="仿宋"/>
                <w:bCs/>
                <w:kern w:val="0"/>
              </w:rPr>
            </w:pPr>
            <w:r>
              <w:rPr>
                <w:rFonts w:hint="eastAsia" w:ascii="仿宋" w:hAnsi="仿宋" w:cs="仿宋"/>
                <w:bCs/>
                <w:kern w:val="0"/>
              </w:rPr>
              <w:t>所属专业类</w:t>
            </w:r>
          </w:p>
          <w:p>
            <w:pPr>
              <w:spacing w:line="360" w:lineRule="exact"/>
              <w:jc w:val="center"/>
              <w:rPr>
                <w:rFonts w:ascii="仿宋" w:hAnsi="仿宋" w:cs="仿宋"/>
                <w:bCs/>
                <w:kern w:val="0"/>
              </w:rPr>
            </w:pPr>
            <w:r>
              <w:rPr>
                <w:rFonts w:hint="eastAsia" w:ascii="仿宋" w:hAnsi="仿宋" w:cs="仿宋"/>
                <w:bCs/>
                <w:kern w:val="0"/>
              </w:rPr>
              <w:t>（代码）</w:t>
            </w:r>
          </w:p>
        </w:tc>
        <w:tc>
          <w:tcPr>
            <w:tcW w:w="1174" w:type="dxa"/>
            <w:vAlign w:val="center"/>
          </w:tcPr>
          <w:p>
            <w:pPr>
              <w:spacing w:line="360" w:lineRule="exact"/>
              <w:jc w:val="center"/>
              <w:rPr>
                <w:rFonts w:ascii="仿宋" w:hAnsi="仿宋" w:cs="仿宋"/>
                <w:bCs/>
                <w:kern w:val="0"/>
              </w:rPr>
            </w:pPr>
            <w:r>
              <w:rPr>
                <w:rFonts w:hint="eastAsia" w:ascii="仿宋" w:hAnsi="仿宋" w:cs="仿宋"/>
                <w:bCs/>
                <w:kern w:val="0"/>
              </w:rPr>
              <w:t>对应</w:t>
            </w:r>
          </w:p>
          <w:p>
            <w:pPr>
              <w:spacing w:line="360" w:lineRule="exact"/>
              <w:jc w:val="center"/>
              <w:rPr>
                <w:rFonts w:ascii="仿宋" w:hAnsi="仿宋" w:cs="仿宋"/>
                <w:bCs/>
                <w:kern w:val="0"/>
              </w:rPr>
            </w:pPr>
            <w:r>
              <w:rPr>
                <w:rFonts w:hint="eastAsia" w:ascii="仿宋" w:hAnsi="仿宋" w:cs="仿宋"/>
                <w:bCs/>
                <w:kern w:val="0"/>
              </w:rPr>
              <w:t>行业</w:t>
            </w:r>
          </w:p>
          <w:p>
            <w:pPr>
              <w:spacing w:line="360" w:lineRule="exact"/>
              <w:jc w:val="center"/>
              <w:rPr>
                <w:rFonts w:ascii="仿宋" w:hAnsi="仿宋" w:cs="仿宋"/>
                <w:bCs/>
                <w:kern w:val="0"/>
              </w:rPr>
            </w:pPr>
            <w:r>
              <w:rPr>
                <w:rFonts w:hint="eastAsia" w:ascii="仿宋" w:hAnsi="仿宋" w:cs="仿宋"/>
                <w:bCs/>
                <w:kern w:val="0"/>
              </w:rPr>
              <w:t>（代码）</w:t>
            </w:r>
          </w:p>
        </w:tc>
        <w:tc>
          <w:tcPr>
            <w:tcW w:w="1174" w:type="dxa"/>
            <w:vAlign w:val="center"/>
          </w:tcPr>
          <w:p>
            <w:pPr>
              <w:spacing w:line="360" w:lineRule="exact"/>
              <w:jc w:val="center"/>
              <w:rPr>
                <w:rFonts w:ascii="仿宋" w:hAnsi="仿宋" w:cs="仿宋"/>
                <w:bCs/>
                <w:kern w:val="0"/>
              </w:rPr>
            </w:pPr>
            <w:r>
              <w:rPr>
                <w:rFonts w:hint="eastAsia" w:ascii="仿宋" w:hAnsi="仿宋" w:cs="仿宋"/>
                <w:bCs/>
                <w:kern w:val="0"/>
              </w:rPr>
              <w:t>主要职业类别</w:t>
            </w:r>
          </w:p>
          <w:p>
            <w:pPr>
              <w:spacing w:line="360" w:lineRule="exact"/>
              <w:jc w:val="center"/>
              <w:rPr>
                <w:rFonts w:ascii="仿宋" w:hAnsi="仿宋" w:cs="仿宋"/>
                <w:bCs/>
                <w:kern w:val="0"/>
              </w:rPr>
            </w:pPr>
            <w:r>
              <w:rPr>
                <w:rFonts w:hint="eastAsia" w:ascii="仿宋" w:hAnsi="仿宋" w:cs="仿宋"/>
                <w:bCs/>
                <w:kern w:val="0"/>
              </w:rPr>
              <w:t>（代码）</w:t>
            </w:r>
          </w:p>
        </w:tc>
        <w:tc>
          <w:tcPr>
            <w:tcW w:w="1906" w:type="dxa"/>
            <w:vAlign w:val="center"/>
          </w:tcPr>
          <w:p>
            <w:pPr>
              <w:spacing w:line="360" w:lineRule="exact"/>
              <w:jc w:val="center"/>
              <w:rPr>
                <w:rFonts w:ascii="仿宋" w:hAnsi="仿宋" w:cs="仿宋"/>
                <w:bCs/>
                <w:kern w:val="0"/>
              </w:rPr>
            </w:pPr>
            <w:r>
              <w:rPr>
                <w:rFonts w:hint="eastAsia" w:ascii="仿宋" w:hAnsi="仿宋" w:cs="仿宋"/>
                <w:bCs/>
                <w:kern w:val="0"/>
              </w:rPr>
              <w:t>主要岗位类别（或技术领域）</w:t>
            </w:r>
          </w:p>
        </w:tc>
        <w:tc>
          <w:tcPr>
            <w:tcW w:w="2262" w:type="dxa"/>
            <w:vAlign w:val="center"/>
          </w:tcPr>
          <w:p>
            <w:pPr>
              <w:spacing w:line="360" w:lineRule="exact"/>
              <w:jc w:val="center"/>
              <w:rPr>
                <w:rFonts w:ascii="仿宋" w:hAnsi="仿宋" w:cs="仿宋"/>
                <w:bCs/>
                <w:kern w:val="0"/>
              </w:rPr>
            </w:pPr>
            <w:r>
              <w:rPr>
                <w:rFonts w:hint="eastAsia" w:ascii="仿宋" w:hAnsi="仿宋" w:cs="仿宋"/>
                <w:bCs/>
                <w:kern w:val="0"/>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608" w:hRule="exact"/>
        </w:trPr>
        <w:tc>
          <w:tcPr>
            <w:tcW w:w="1286" w:type="dxa"/>
            <w:vAlign w:val="center"/>
          </w:tcPr>
          <w:p>
            <w:pPr>
              <w:spacing w:line="240" w:lineRule="auto"/>
              <w:jc w:val="center"/>
              <w:rPr>
                <w:rFonts w:cs="Tahoma"/>
                <w:bCs/>
                <w:kern w:val="0"/>
                <w:sz w:val="18"/>
                <w:szCs w:val="18"/>
              </w:rPr>
            </w:pPr>
            <w:r>
              <w:rPr>
                <w:rFonts w:hint="eastAsia" w:cs="Tahoma"/>
                <w:bCs/>
                <w:kern w:val="0"/>
                <w:sz w:val="18"/>
                <w:szCs w:val="18"/>
              </w:rPr>
              <w:t>财经商贸类</w:t>
            </w:r>
          </w:p>
          <w:p>
            <w:pPr>
              <w:spacing w:line="240" w:lineRule="auto"/>
              <w:jc w:val="center"/>
              <w:rPr>
                <w:rFonts w:cs="Tahoma"/>
                <w:bCs/>
                <w:kern w:val="0"/>
                <w:sz w:val="18"/>
                <w:szCs w:val="18"/>
              </w:rPr>
            </w:pPr>
            <w:r>
              <w:rPr>
                <w:rFonts w:hint="eastAsia" w:cs="Tahoma"/>
                <w:bCs/>
                <w:kern w:val="0"/>
                <w:sz w:val="18"/>
                <w:szCs w:val="18"/>
              </w:rPr>
              <w:t>（63）</w:t>
            </w:r>
          </w:p>
        </w:tc>
        <w:tc>
          <w:tcPr>
            <w:tcW w:w="1029" w:type="dxa"/>
            <w:vAlign w:val="center"/>
          </w:tcPr>
          <w:p>
            <w:pPr>
              <w:spacing w:line="240" w:lineRule="auto"/>
              <w:jc w:val="center"/>
              <w:rPr>
                <w:rFonts w:cs="Tahoma"/>
                <w:bCs/>
                <w:kern w:val="0"/>
                <w:sz w:val="21"/>
                <w:szCs w:val="21"/>
              </w:rPr>
            </w:pPr>
            <w:r>
              <w:rPr>
                <w:rFonts w:hint="eastAsia" w:cs="Tahoma"/>
                <w:bCs/>
                <w:kern w:val="0"/>
                <w:sz w:val="21"/>
                <w:szCs w:val="21"/>
              </w:rPr>
              <w:t>物流类</w:t>
            </w:r>
          </w:p>
          <w:p>
            <w:pPr>
              <w:spacing w:line="240" w:lineRule="auto"/>
              <w:jc w:val="center"/>
              <w:rPr>
                <w:rFonts w:cs="Tahoma"/>
                <w:bCs/>
                <w:kern w:val="0"/>
                <w:sz w:val="21"/>
                <w:szCs w:val="21"/>
              </w:rPr>
            </w:pPr>
            <w:r>
              <w:rPr>
                <w:rFonts w:hint="eastAsia" w:cs="Tahoma"/>
                <w:bCs/>
                <w:kern w:val="0"/>
                <w:sz w:val="21"/>
                <w:szCs w:val="21"/>
              </w:rPr>
              <w:t>（6309）</w:t>
            </w:r>
          </w:p>
        </w:tc>
        <w:tc>
          <w:tcPr>
            <w:tcW w:w="1174" w:type="dxa"/>
            <w:vAlign w:val="center"/>
          </w:tcPr>
          <w:p>
            <w:pPr>
              <w:spacing w:line="240" w:lineRule="auto"/>
              <w:jc w:val="center"/>
              <w:rPr>
                <w:rFonts w:ascii="仿宋" w:hAnsi="仿宋" w:cs="Tahoma"/>
                <w:bCs/>
                <w:kern w:val="0"/>
                <w:sz w:val="21"/>
                <w:szCs w:val="21"/>
              </w:rPr>
            </w:pPr>
            <w:r>
              <w:rPr>
                <w:rFonts w:hint="eastAsia" w:ascii="仿宋" w:hAnsi="仿宋"/>
                <w:bCs/>
                <w:sz w:val="21"/>
                <w:szCs w:val="21"/>
              </w:rPr>
              <w:t>G-交通运输、仓储和邮政业</w:t>
            </w:r>
          </w:p>
        </w:tc>
        <w:tc>
          <w:tcPr>
            <w:tcW w:w="1174" w:type="dxa"/>
            <w:vAlign w:val="center"/>
          </w:tcPr>
          <w:p>
            <w:pPr>
              <w:spacing w:line="240" w:lineRule="auto"/>
              <w:jc w:val="left"/>
              <w:rPr>
                <w:rFonts w:ascii="仿宋" w:hAnsi="仿宋"/>
                <w:bCs/>
                <w:sz w:val="21"/>
                <w:szCs w:val="21"/>
              </w:rPr>
            </w:pPr>
            <w:r>
              <w:rPr>
                <w:rFonts w:hint="eastAsia" w:ascii="仿宋" w:hAnsi="仿宋"/>
                <w:bCs/>
                <w:sz w:val="21"/>
                <w:szCs w:val="21"/>
              </w:rPr>
              <w:t>4-01-01 采购人员</w:t>
            </w:r>
          </w:p>
          <w:p>
            <w:pPr>
              <w:spacing w:line="240" w:lineRule="auto"/>
              <w:jc w:val="left"/>
              <w:rPr>
                <w:rFonts w:ascii="仿宋" w:hAnsi="仿宋"/>
                <w:bCs/>
                <w:sz w:val="21"/>
                <w:szCs w:val="21"/>
              </w:rPr>
            </w:pPr>
            <w:r>
              <w:rPr>
                <w:rFonts w:hint="eastAsia" w:ascii="仿宋" w:hAnsi="仿宋"/>
                <w:bCs/>
                <w:sz w:val="21"/>
                <w:szCs w:val="21"/>
              </w:rPr>
              <w:t>4-02-05装卸搬运和运输代理服务人员</w:t>
            </w:r>
          </w:p>
          <w:p>
            <w:pPr>
              <w:spacing w:line="240" w:lineRule="auto"/>
              <w:jc w:val="left"/>
              <w:rPr>
                <w:rFonts w:ascii="仿宋" w:hAnsi="仿宋"/>
                <w:bCs/>
                <w:sz w:val="21"/>
                <w:szCs w:val="21"/>
              </w:rPr>
            </w:pPr>
            <w:r>
              <w:rPr>
                <w:rFonts w:hint="eastAsia" w:ascii="仿宋" w:hAnsi="仿宋"/>
                <w:bCs/>
                <w:sz w:val="21"/>
                <w:szCs w:val="21"/>
              </w:rPr>
              <w:t>4-02-06仓储人员</w:t>
            </w:r>
          </w:p>
          <w:p>
            <w:pPr>
              <w:spacing w:line="240" w:lineRule="auto"/>
              <w:jc w:val="center"/>
              <w:rPr>
                <w:rFonts w:ascii="仿宋" w:hAnsi="仿宋" w:cs="Tahoma"/>
                <w:bCs/>
                <w:kern w:val="0"/>
                <w:sz w:val="21"/>
                <w:szCs w:val="21"/>
              </w:rPr>
            </w:pPr>
          </w:p>
        </w:tc>
        <w:tc>
          <w:tcPr>
            <w:tcW w:w="1906" w:type="dxa"/>
            <w:vAlign w:val="center"/>
          </w:tcPr>
          <w:p>
            <w:pPr>
              <w:spacing w:line="240" w:lineRule="auto"/>
              <w:jc w:val="center"/>
              <w:rPr>
                <w:rFonts w:ascii="仿宋" w:hAnsi="仿宋"/>
                <w:bCs/>
                <w:sz w:val="21"/>
                <w:szCs w:val="21"/>
              </w:rPr>
            </w:pPr>
            <w:r>
              <w:rPr>
                <w:rFonts w:hint="eastAsia" w:ascii="仿宋" w:hAnsi="仿宋"/>
                <w:bCs/>
                <w:sz w:val="21"/>
                <w:szCs w:val="21"/>
              </w:rPr>
              <w:t>采购主管</w:t>
            </w:r>
          </w:p>
          <w:p>
            <w:pPr>
              <w:spacing w:line="240" w:lineRule="auto"/>
              <w:jc w:val="center"/>
              <w:rPr>
                <w:rFonts w:ascii="仿宋" w:hAnsi="仿宋"/>
                <w:bCs/>
                <w:sz w:val="21"/>
                <w:szCs w:val="21"/>
              </w:rPr>
            </w:pPr>
            <w:r>
              <w:rPr>
                <w:rFonts w:hint="eastAsia" w:ascii="仿宋" w:hAnsi="仿宋"/>
                <w:bCs/>
                <w:sz w:val="21"/>
                <w:szCs w:val="21"/>
              </w:rPr>
              <w:t>供应链主管</w:t>
            </w:r>
          </w:p>
          <w:p>
            <w:pPr>
              <w:spacing w:line="240" w:lineRule="auto"/>
              <w:jc w:val="center"/>
              <w:rPr>
                <w:rFonts w:ascii="仿宋" w:hAnsi="仿宋"/>
                <w:bCs/>
                <w:sz w:val="21"/>
                <w:szCs w:val="21"/>
              </w:rPr>
            </w:pPr>
            <w:r>
              <w:rPr>
                <w:rFonts w:hint="eastAsia" w:ascii="仿宋" w:hAnsi="仿宋"/>
                <w:bCs/>
                <w:sz w:val="21"/>
                <w:szCs w:val="21"/>
              </w:rPr>
              <w:t>仓储主管</w:t>
            </w:r>
          </w:p>
          <w:p>
            <w:pPr>
              <w:spacing w:line="240" w:lineRule="auto"/>
              <w:jc w:val="center"/>
              <w:rPr>
                <w:rFonts w:ascii="仿宋" w:hAnsi="仿宋"/>
                <w:bCs/>
                <w:sz w:val="21"/>
                <w:szCs w:val="21"/>
              </w:rPr>
            </w:pPr>
            <w:r>
              <w:rPr>
                <w:rFonts w:hint="eastAsia" w:ascii="仿宋" w:hAnsi="仿宋"/>
                <w:bCs/>
                <w:sz w:val="21"/>
                <w:szCs w:val="21"/>
              </w:rPr>
              <w:t>运输主管</w:t>
            </w:r>
          </w:p>
          <w:p>
            <w:pPr>
              <w:spacing w:line="240" w:lineRule="auto"/>
              <w:jc w:val="center"/>
              <w:rPr>
                <w:rFonts w:ascii="仿宋" w:hAnsi="仿宋"/>
                <w:bCs/>
                <w:sz w:val="21"/>
                <w:szCs w:val="21"/>
              </w:rPr>
            </w:pPr>
            <w:r>
              <w:rPr>
                <w:rFonts w:hint="eastAsia" w:ascii="仿宋" w:hAnsi="仿宋"/>
                <w:bCs/>
                <w:sz w:val="21"/>
                <w:szCs w:val="21"/>
              </w:rPr>
              <w:t>物流销售主管</w:t>
            </w:r>
          </w:p>
          <w:p>
            <w:pPr>
              <w:spacing w:line="240" w:lineRule="auto"/>
              <w:jc w:val="center"/>
              <w:rPr>
                <w:rFonts w:ascii="仿宋" w:hAnsi="仿宋"/>
                <w:bCs/>
                <w:sz w:val="21"/>
                <w:szCs w:val="21"/>
              </w:rPr>
            </w:pPr>
            <w:r>
              <w:rPr>
                <w:rFonts w:hint="eastAsia" w:ascii="仿宋" w:hAnsi="仿宋"/>
                <w:bCs/>
                <w:sz w:val="21"/>
                <w:szCs w:val="21"/>
              </w:rPr>
              <w:t>物流客户服务主管</w:t>
            </w:r>
          </w:p>
          <w:p>
            <w:pPr>
              <w:spacing w:line="240" w:lineRule="auto"/>
              <w:jc w:val="center"/>
              <w:rPr>
                <w:rFonts w:ascii="仿宋" w:hAnsi="仿宋"/>
                <w:bCs/>
                <w:sz w:val="21"/>
                <w:szCs w:val="21"/>
              </w:rPr>
            </w:pPr>
            <w:r>
              <w:rPr>
                <w:rFonts w:hint="eastAsia" w:ascii="仿宋" w:hAnsi="仿宋"/>
                <w:bCs/>
                <w:sz w:val="21"/>
                <w:szCs w:val="21"/>
              </w:rPr>
              <w:t>库存控制主管</w:t>
            </w:r>
          </w:p>
          <w:p>
            <w:pPr>
              <w:spacing w:line="240" w:lineRule="auto"/>
              <w:jc w:val="center"/>
              <w:rPr>
                <w:rFonts w:ascii="仿宋" w:hAnsi="仿宋" w:cs="Tahoma"/>
                <w:bCs/>
                <w:kern w:val="0"/>
                <w:sz w:val="21"/>
                <w:szCs w:val="21"/>
              </w:rPr>
            </w:pPr>
          </w:p>
        </w:tc>
        <w:tc>
          <w:tcPr>
            <w:tcW w:w="2262" w:type="dxa"/>
            <w:vAlign w:val="center"/>
          </w:tcPr>
          <w:p>
            <w:pPr>
              <w:spacing w:line="240" w:lineRule="auto"/>
              <w:jc w:val="center"/>
              <w:rPr>
                <w:rFonts w:cs="Tahoma"/>
                <w:bCs/>
                <w:kern w:val="0"/>
              </w:rPr>
            </w:pPr>
            <w:r>
              <w:rPr>
                <w:rFonts w:hint="eastAsia" w:cs="Tahoma"/>
                <w:bCs/>
                <w:kern w:val="0"/>
              </w:rPr>
              <w:t>叉车证</w:t>
            </w:r>
          </w:p>
          <w:p>
            <w:pPr>
              <w:spacing w:line="240" w:lineRule="auto"/>
              <w:jc w:val="center"/>
              <w:rPr>
                <w:rFonts w:cs="Tahoma"/>
                <w:bCs/>
                <w:kern w:val="0"/>
              </w:rPr>
            </w:pPr>
          </w:p>
          <w:p>
            <w:pPr>
              <w:spacing w:line="240" w:lineRule="auto"/>
              <w:jc w:val="center"/>
              <w:rPr>
                <w:rFonts w:cs="Tahoma"/>
                <w:bCs/>
                <w:kern w:val="0"/>
              </w:rPr>
            </w:pPr>
            <w:r>
              <w:rPr>
                <w:rFonts w:hint="eastAsia" w:cs="Tahoma"/>
                <w:bCs/>
                <w:kern w:val="0"/>
              </w:rPr>
              <w:t>物流职业能力证书</w:t>
            </w:r>
          </w:p>
        </w:tc>
      </w:tr>
    </w:tbl>
    <w:p>
      <w:pPr>
        <w:pStyle w:val="2"/>
        <w:numPr>
          <w:ilvl w:val="0"/>
          <w:numId w:val="2"/>
        </w:numPr>
      </w:pPr>
      <w:r>
        <w:rPr>
          <w:rFonts w:hint="eastAsia"/>
        </w:rPr>
        <w:t>培养目标及培养规格</w:t>
      </w:r>
    </w:p>
    <w:p>
      <w:pPr>
        <w:ind w:firstLine="480" w:firstLineChars="200"/>
      </w:pPr>
      <w:r>
        <w:rPr>
          <w:rFonts w:hint="eastAsia"/>
        </w:rPr>
        <w:t>培养目标与培养规格应贯彻党的教育方针，落实党和国家对人才培养的有关总体要求，对接行业需求，体现职业教育特色。</w:t>
      </w:r>
    </w:p>
    <w:p>
      <w:pPr>
        <w:ind w:firstLine="480" w:firstLineChars="200"/>
      </w:pPr>
      <w:r>
        <w:rPr>
          <w:rFonts w:hint="eastAsia"/>
        </w:rPr>
        <w:t>具体参考以下表述</w:t>
      </w:r>
    </w:p>
    <w:p>
      <w:pPr>
        <w:pStyle w:val="3"/>
      </w:pPr>
      <w:r>
        <w:rPr>
          <w:rFonts w:hint="eastAsia"/>
        </w:rPr>
        <w:t>（一）</w:t>
      </w:r>
      <w:r>
        <w:t>培养目标</w:t>
      </w:r>
      <w:r>
        <w:rPr>
          <w:rFonts w:hint="eastAsia"/>
        </w:rPr>
        <w:t>。</w:t>
      </w:r>
    </w:p>
    <w:p>
      <w:pPr>
        <w:ind w:firstLine="480" w:firstLineChars="200"/>
      </w:pPr>
      <w:r>
        <w:rPr>
          <w:rFonts w:hint="eastAsia"/>
        </w:rPr>
        <w:t>本专业培养理想信念坚定、德技并修、全面发展，具有一定的科学文化水平、良好的职业道德和工匠精神、较强的就业创业能力，</w:t>
      </w:r>
      <w:r>
        <w:t>掌握物流与供应链管理专业知识</w:t>
      </w:r>
      <w:r>
        <w:rPr>
          <w:rFonts w:hint="eastAsia"/>
        </w:rPr>
        <w:t>和技术技能，面向</w:t>
      </w:r>
      <w:r>
        <w:t>物流企业</w:t>
      </w:r>
      <w:r>
        <w:rPr>
          <w:rFonts w:hint="eastAsia"/>
        </w:rPr>
        <w:t>与</w:t>
      </w:r>
      <w:r>
        <w:t>工商企业</w:t>
      </w:r>
      <w:r>
        <w:rPr>
          <w:rFonts w:hint="eastAsia"/>
        </w:rPr>
        <w:t>物流部门</w:t>
      </w:r>
      <w:r>
        <w:t>，</w:t>
      </w:r>
      <w:r>
        <w:rPr>
          <w:rFonts w:hint="eastAsia"/>
        </w:rPr>
        <w:t>能够从事采购、仓储、运输与配送、</w:t>
      </w:r>
      <w:r>
        <w:t>供应链管理</w:t>
      </w:r>
      <w:r>
        <w:rPr>
          <w:rFonts w:hint="eastAsia"/>
        </w:rPr>
        <w:t>等</w:t>
      </w:r>
      <w:r>
        <w:t>基层管理及物流服务等</w:t>
      </w:r>
      <w:r>
        <w:rPr>
          <w:rFonts w:hint="eastAsia"/>
        </w:rPr>
        <w:t>工作的高素质技术技能人才。</w:t>
      </w:r>
    </w:p>
    <w:p>
      <w:pPr>
        <w:pStyle w:val="3"/>
      </w:pPr>
      <w:r>
        <w:rPr>
          <w:rFonts w:hint="eastAsia"/>
        </w:rPr>
        <w:t>（二）培养</w:t>
      </w:r>
      <w:r>
        <w:t>规格</w:t>
      </w:r>
      <w:r>
        <w:rPr>
          <w:rFonts w:hint="eastAsia"/>
        </w:rPr>
        <w:t>。</w:t>
      </w:r>
    </w:p>
    <w:p>
      <w:pPr>
        <w:ind w:firstLine="480" w:firstLineChars="200"/>
      </w:pPr>
      <w:r>
        <w:rPr>
          <w:rFonts w:hint="eastAsia"/>
        </w:rPr>
        <w:t>由素质、知识、能力三个方面的要求组成。</w:t>
      </w:r>
    </w:p>
    <w:p>
      <w:pPr>
        <w:ind w:firstLine="480" w:firstLineChars="200"/>
      </w:pPr>
      <w:r>
        <w:rPr>
          <w:rFonts w:hint="eastAsia"/>
        </w:rPr>
        <w:t>在素质方面，对照以下总体要求，并结合专业特点研究确定。在知识、能力方面，对应人才培养目标，对照有关课程标准、专业教学标准和通过企业调研、职业能力分析提出的有关具体要求，研究确定并分条目列举。</w:t>
      </w:r>
    </w:p>
    <w:p>
      <w:pPr>
        <w:pStyle w:val="4"/>
      </w:pPr>
      <w:r>
        <w:rPr>
          <w:rFonts w:hint="eastAsia"/>
        </w:rPr>
        <w:t>1.素质。</w:t>
      </w:r>
    </w:p>
    <w:p>
      <w:pPr>
        <w:ind w:firstLine="480" w:firstLineChars="200"/>
      </w:pPr>
      <w:r>
        <w:t>具有正确的世界观、人生观、价值观。坚决拥护中国共产党领导，树立中国特色社会主义共同理想，践行社会主义核心价值观，具有深厚的爱国情感、国家认同感、中华民族自豪感</w:t>
      </w:r>
      <w:r>
        <w:rPr>
          <w:rFonts w:hint="eastAsia"/>
        </w:rPr>
        <w:t>；</w:t>
      </w:r>
      <w:r>
        <w:t>崇尚宪法、遵守法律、遵规守纪</w:t>
      </w:r>
      <w:r>
        <w:rPr>
          <w:rFonts w:hint="eastAsia"/>
        </w:rPr>
        <w:t>；</w:t>
      </w:r>
      <w:r>
        <w:t>具有社会责任感和参与意识。</w:t>
      </w:r>
    </w:p>
    <w:p>
      <w:pPr>
        <w:ind w:firstLine="480" w:firstLineChars="200"/>
      </w:pPr>
      <w:r>
        <w:t>具有良好的职业道德和职业素养。崇德向善、诚实守信</w:t>
      </w:r>
      <w:r>
        <w:rPr>
          <w:rFonts w:hint="eastAsia"/>
        </w:rPr>
        <w:t>、爱岗敬业</w:t>
      </w:r>
      <w:r>
        <w:t>，具有精益求精的工匠精神</w:t>
      </w:r>
      <w:r>
        <w:rPr>
          <w:rFonts w:hint="eastAsia"/>
        </w:rPr>
        <w:t>；尊重劳动、热爱劳动，</w:t>
      </w:r>
      <w:r>
        <w:t>具有较强的实践能力</w:t>
      </w:r>
      <w:r>
        <w:rPr>
          <w:rFonts w:hint="eastAsia"/>
        </w:rPr>
        <w:t>；</w:t>
      </w:r>
      <w:r>
        <w:t>具有质量意识、</w:t>
      </w:r>
      <w:r>
        <w:rPr>
          <w:rFonts w:hint="eastAsia"/>
        </w:rPr>
        <w:t>绿色</w:t>
      </w:r>
      <w:r>
        <w:t>环保意识、安全意识、信息素养</w:t>
      </w:r>
      <w:r>
        <w:rPr>
          <w:rFonts w:hint="eastAsia"/>
        </w:rPr>
        <w:t>、创新精神；</w:t>
      </w:r>
      <w:r>
        <w:t>具有较强的集体意识和团队合作精神，能够进行有效的人际沟通和协作</w:t>
      </w:r>
      <w:r>
        <w:rPr>
          <w:rFonts w:hint="eastAsia"/>
        </w:rPr>
        <w:t>，与社会、自然和谐共处；具有职业生涯规划意识。</w:t>
      </w:r>
    </w:p>
    <w:p>
      <w:pPr>
        <w:ind w:firstLine="480" w:firstLineChars="200"/>
      </w:pPr>
      <w:r>
        <w:t>具有</w:t>
      </w:r>
      <w:r>
        <w:rPr>
          <w:rFonts w:hint="eastAsia"/>
        </w:rPr>
        <w:t>良</w:t>
      </w:r>
      <w:r>
        <w:t>好的身心素质</w:t>
      </w:r>
      <w:r>
        <w:rPr>
          <w:rFonts w:hint="eastAsia"/>
        </w:rPr>
        <w:t>和人文素养</w:t>
      </w:r>
      <w:r>
        <w:t>。具有健康的体魄和心理、健全的人格</w:t>
      </w:r>
      <w:r>
        <w:rPr>
          <w:rFonts w:hint="eastAsia"/>
        </w:rPr>
        <w:t>，能够掌握基本运动知识和一两项运动技能；</w:t>
      </w:r>
      <w:r>
        <w:t>具有感受美、表现美、鉴赏美、创造美的能力，具有</w:t>
      </w:r>
      <w:r>
        <w:rPr>
          <w:rFonts w:hint="eastAsia"/>
        </w:rPr>
        <w:t>一定的</w:t>
      </w:r>
      <w:r>
        <w:t>审美和人文素养</w:t>
      </w:r>
      <w:r>
        <w:rPr>
          <w:rFonts w:hint="eastAsia"/>
        </w:rPr>
        <w:t>，能够形成一两项艺术特长或爱好；掌握一定的学习方法，</w:t>
      </w:r>
      <w:r>
        <w:t>具有</w:t>
      </w:r>
      <w:r>
        <w:rPr>
          <w:rFonts w:hint="eastAsia"/>
        </w:rPr>
        <w:t>良好的生活习惯、行为习惯和</w:t>
      </w:r>
      <w:r>
        <w:t>自我管理能力</w:t>
      </w:r>
      <w:r>
        <w:rPr>
          <w:rFonts w:hint="eastAsia"/>
        </w:rPr>
        <w:t>。</w:t>
      </w:r>
    </w:p>
    <w:p>
      <w:pPr>
        <w:pStyle w:val="4"/>
      </w:pPr>
      <w:r>
        <w:rPr>
          <w:rFonts w:hint="eastAsia"/>
        </w:rPr>
        <w:t>2.知识。</w:t>
      </w:r>
    </w:p>
    <w:p>
      <w:pPr>
        <w:ind w:firstLine="480" w:firstLineChars="200"/>
      </w:pPr>
      <w:r>
        <w:rPr>
          <w:rFonts w:hint="eastAsia"/>
        </w:rPr>
        <w:t>1.掌握必备的思想政治理论、科学文化基础知识；</w:t>
      </w:r>
    </w:p>
    <w:p>
      <w:pPr>
        <w:ind w:firstLine="480" w:firstLineChars="200"/>
      </w:pPr>
      <w:r>
        <w:rPr>
          <w:rFonts w:hint="eastAsia"/>
        </w:rPr>
        <w:t>2.了解与物流管理专业相关的法律法规；</w:t>
      </w:r>
    </w:p>
    <w:p>
      <w:pPr>
        <w:ind w:firstLine="480" w:firstLineChars="200"/>
      </w:pPr>
      <w:r>
        <w:rPr>
          <w:rFonts w:hint="eastAsia"/>
        </w:rPr>
        <w:t>3.了解中国传统商业文化和世界经济发展趋势，熟悉市场经济规则；</w:t>
      </w:r>
    </w:p>
    <w:p>
      <w:pPr>
        <w:ind w:firstLine="480" w:firstLineChars="200"/>
      </w:pPr>
      <w:r>
        <w:rPr>
          <w:rFonts w:hint="eastAsia"/>
        </w:rPr>
        <w:t>4.掌握物流市场分析、开拓及管理的基本知识和方法；</w:t>
      </w:r>
    </w:p>
    <w:p>
      <w:pPr>
        <w:ind w:firstLine="480" w:firstLineChars="200"/>
      </w:pPr>
      <w:r>
        <w:rPr>
          <w:rFonts w:hint="eastAsia"/>
        </w:rPr>
        <w:t>5.掌握物流系统的构成要素，具备供应链管理的基本知识；</w:t>
      </w:r>
    </w:p>
    <w:p>
      <w:pPr>
        <w:ind w:firstLine="480" w:firstLineChars="200"/>
      </w:pPr>
      <w:r>
        <w:rPr>
          <w:rFonts w:hint="eastAsia"/>
        </w:rPr>
        <w:t>6.掌握物流货品分类与质量管理的基本知识与技术方法；</w:t>
      </w:r>
    </w:p>
    <w:p>
      <w:pPr>
        <w:ind w:firstLine="480" w:firstLineChars="200"/>
      </w:pPr>
      <w:r>
        <w:rPr>
          <w:rFonts w:hint="eastAsia"/>
        </w:rPr>
        <w:t>7.掌握物流运作的基本知识与方法；</w:t>
      </w:r>
    </w:p>
    <w:p>
      <w:pPr>
        <w:ind w:firstLine="480" w:firstLineChars="200"/>
      </w:pPr>
      <w:r>
        <w:rPr>
          <w:rFonts w:hint="eastAsia"/>
        </w:rPr>
        <w:t>8.掌握物流作业及现场管理的基本流程和优化方法；</w:t>
      </w:r>
    </w:p>
    <w:p>
      <w:pPr>
        <w:ind w:firstLine="480" w:firstLineChars="200"/>
      </w:pPr>
      <w:r>
        <w:rPr>
          <w:rFonts w:hint="eastAsia"/>
        </w:rPr>
        <w:t>9.掌握物流成本控制的基本知识和方法；</w:t>
      </w:r>
    </w:p>
    <w:p>
      <w:pPr>
        <w:ind w:firstLine="480" w:firstLineChars="200"/>
      </w:pPr>
      <w:r>
        <w:rPr>
          <w:rFonts w:hint="eastAsia"/>
        </w:rPr>
        <w:t>10.掌握现代物流信息技术运用的基本知识和方法；</w:t>
      </w:r>
    </w:p>
    <w:p>
      <w:pPr>
        <w:ind w:firstLine="480" w:firstLineChars="200"/>
      </w:pPr>
      <w:r>
        <w:rPr>
          <w:rFonts w:hint="eastAsia"/>
        </w:rPr>
        <w:t>11.熟悉大数据、智慧物流、物联网等现代物流发展的新知识、新技术。</w:t>
      </w:r>
    </w:p>
    <w:p>
      <w:pPr>
        <w:pStyle w:val="4"/>
      </w:pPr>
      <w:r>
        <w:rPr>
          <w:rFonts w:hint="eastAsia"/>
        </w:rPr>
        <w:t>3.能力。</w:t>
      </w:r>
    </w:p>
    <w:p>
      <w:pPr>
        <w:ind w:firstLine="480" w:firstLineChars="200"/>
      </w:pPr>
      <w:r>
        <w:rPr>
          <w:rFonts w:hint="eastAsia"/>
        </w:rPr>
        <w:t>1.能够运用英语处理简单的英文函件、单证；</w:t>
      </w:r>
    </w:p>
    <w:p>
      <w:pPr>
        <w:ind w:firstLine="480" w:firstLineChars="200"/>
      </w:pPr>
      <w:r>
        <w:rPr>
          <w:rFonts w:hint="eastAsia"/>
        </w:rPr>
        <w:t>2.能熟练运用office等办公软件，进行文档编辑、数据处理、演示汇报；</w:t>
      </w:r>
    </w:p>
    <w:p>
      <w:pPr>
        <w:ind w:firstLine="480" w:firstLineChars="200"/>
      </w:pPr>
      <w:r>
        <w:rPr>
          <w:rFonts w:hint="eastAsia"/>
        </w:rPr>
        <w:t>3.能够对物流市场进行分析与供需管理；</w:t>
      </w:r>
    </w:p>
    <w:p>
      <w:pPr>
        <w:ind w:firstLine="480" w:firstLineChars="200"/>
      </w:pPr>
      <w:r>
        <w:rPr>
          <w:rFonts w:hint="eastAsia"/>
        </w:rPr>
        <w:t>4.能够进行良好的沟通和采购谈判；</w:t>
      </w:r>
    </w:p>
    <w:p>
      <w:pPr>
        <w:ind w:firstLine="480" w:firstLineChars="200"/>
      </w:pPr>
      <w:r>
        <w:rPr>
          <w:rFonts w:hint="eastAsia"/>
        </w:rPr>
        <w:t>5.能够有效进行仓储作业管理、库存控制、配送及运输作业管理；</w:t>
      </w:r>
    </w:p>
    <w:p>
      <w:pPr>
        <w:ind w:firstLine="480" w:firstLineChars="200"/>
      </w:pPr>
      <w:r>
        <w:rPr>
          <w:rFonts w:hint="eastAsia"/>
        </w:rPr>
        <w:t>6.能够进行精准的物流成本核算与分析控制；</w:t>
      </w:r>
    </w:p>
    <w:p>
      <w:pPr>
        <w:ind w:firstLine="480" w:firstLineChars="200"/>
      </w:pPr>
      <w:r>
        <w:rPr>
          <w:rFonts w:hint="eastAsia"/>
        </w:rPr>
        <w:t>7.能够运用大数据、智慧物流、物联网等先进技术提升物流运作效率，并运用物流信息技术解决物流问题；</w:t>
      </w:r>
    </w:p>
    <w:p>
      <w:pPr>
        <w:ind w:firstLine="480" w:firstLineChars="200"/>
      </w:pPr>
      <w:r>
        <w:rPr>
          <w:rFonts w:hint="eastAsia"/>
        </w:rPr>
        <w:t>8.能够熟练运用ERP企业资源管理信息系统提高企业物流管理效率；</w:t>
      </w:r>
    </w:p>
    <w:p>
      <w:pPr>
        <w:ind w:firstLine="480" w:firstLineChars="200"/>
      </w:pPr>
      <w:r>
        <w:rPr>
          <w:rFonts w:hint="eastAsia"/>
        </w:rPr>
        <w:t>9.能够运用供应链整合设计理念解决企业实际问题；</w:t>
      </w:r>
    </w:p>
    <w:p>
      <w:pPr>
        <w:ind w:firstLine="480" w:firstLineChars="200"/>
        <w:rPr>
          <w:rFonts w:ascii="宋体" w:hAnsi="宋体" w:eastAsia="宋体"/>
          <w:sz w:val="28"/>
          <w:szCs w:val="28"/>
        </w:rPr>
      </w:pPr>
      <w:r>
        <w:rPr>
          <w:rFonts w:hint="eastAsia"/>
        </w:rPr>
        <w:t>10.具有探究学习和终身学习的能力。</w:t>
      </w:r>
    </w:p>
    <w:p>
      <w:pPr>
        <w:ind w:firstLine="480" w:firstLineChars="200"/>
      </w:pPr>
    </w:p>
    <w:p>
      <w:pPr>
        <w:pStyle w:val="2"/>
        <w:numPr>
          <w:ilvl w:val="0"/>
          <w:numId w:val="2"/>
        </w:numPr>
      </w:pPr>
      <w:r>
        <w:rPr>
          <w:rFonts w:hint="eastAsia"/>
        </w:rPr>
        <w:t>课程设置</w:t>
      </w:r>
    </w:p>
    <w:p>
      <w:pPr>
        <w:pStyle w:val="3"/>
      </w:pPr>
      <w:r>
        <w:rPr>
          <w:rFonts w:hint="eastAsia"/>
        </w:rPr>
        <w:t>（一）课程体系设计思路</w:t>
      </w:r>
    </w:p>
    <w:p>
      <w:pPr>
        <w:ind w:firstLine="480" w:firstLineChars="200"/>
      </w:pPr>
      <w:r>
        <w:rPr>
          <w:rFonts w:hint="eastAsia"/>
        </w:rPr>
        <w:t>主要</w:t>
      </w:r>
      <w:r>
        <w:t>包括公共基础课</w:t>
      </w:r>
      <w:r>
        <w:rPr>
          <w:rFonts w:hint="eastAsia"/>
        </w:rPr>
        <w:t>程和</w:t>
      </w:r>
      <w:r>
        <w:t>专业课</w:t>
      </w:r>
      <w:r>
        <w:rPr>
          <w:rFonts w:hint="eastAsia"/>
        </w:rPr>
        <w:t>程。</w:t>
      </w:r>
    </w:p>
    <w:p>
      <w:pPr>
        <w:ind w:firstLine="480" w:firstLineChars="200"/>
      </w:pPr>
      <w:r>
        <w:rPr>
          <w:rFonts w:hint="eastAsia"/>
        </w:rPr>
        <w:t>1.公共基础课程</w:t>
      </w:r>
    </w:p>
    <w:p>
      <w:pPr>
        <w:ind w:firstLine="480" w:firstLineChars="200"/>
      </w:pPr>
      <w:r>
        <w:rPr>
          <w:rFonts w:hint="eastAsia"/>
        </w:rPr>
        <w:t>根据党和国家有关文件明确规定，将思想政治理论课、中华优秀传统文化、体育、军事课、大学生职业发展与就业指导、心理健康教育、信息技术等课程列入公共基础必修课程，并将马克思主义理论类课程、党史国史、大学语文、高等数学、公共外语、健康教育、美育课程、职业素养等列为必修课或选修课。</w:t>
      </w:r>
    </w:p>
    <w:p>
      <w:pPr>
        <w:ind w:firstLine="480" w:firstLineChars="200"/>
      </w:pPr>
      <w:r>
        <w:rPr>
          <w:rFonts w:hint="eastAsia"/>
        </w:rPr>
        <w:t>2.专业课程</w:t>
      </w:r>
    </w:p>
    <w:p>
      <w:pPr>
        <w:ind w:firstLine="480" w:firstLineChars="200"/>
      </w:pPr>
      <w:r>
        <w:rPr>
          <w:rFonts w:hint="eastAsia"/>
        </w:rPr>
        <w:t>一般包括专业基础课程、专业核心课程、专业拓展课程，并涵盖有关实践性教学环节。</w:t>
      </w:r>
    </w:p>
    <w:p>
      <w:pPr>
        <w:ind w:firstLine="480" w:firstLineChars="200"/>
      </w:pPr>
      <w:r>
        <w:rPr>
          <w:rFonts w:hint="eastAsia"/>
        </w:rPr>
        <w:t>（1）专业基础课程</w:t>
      </w:r>
    </w:p>
    <w:p>
      <w:pPr>
        <w:ind w:firstLine="480" w:firstLineChars="200"/>
      </w:pPr>
      <w:r>
        <w:rPr>
          <w:rFonts w:hint="eastAsia"/>
        </w:rPr>
        <w:t>一般设置6～8门课程，课程名称可以有差异，但主要内容应包括现代物流管理(或概论/基础)、商品实务、管理基础、经济学基础、会计基础、、统计基础等。</w:t>
      </w:r>
    </w:p>
    <w:p>
      <w:pPr>
        <w:ind w:firstLine="480" w:firstLineChars="200"/>
      </w:pPr>
      <w:r>
        <w:rPr>
          <w:rFonts w:hint="eastAsia"/>
        </w:rPr>
        <w:t>（2）专业核心课程</w:t>
      </w:r>
    </w:p>
    <w:p>
      <w:pPr>
        <w:ind w:firstLine="480" w:firstLineChars="200"/>
      </w:pPr>
      <w:r>
        <w:rPr>
          <w:rFonts w:hint="eastAsia"/>
        </w:rPr>
        <w:t>一般设置6～8门课程，主要包括采购管理实务、仓储管理实务、运输管理实务、配送管理实务、生产运作管理、物流一体化实训等，学校可根据2018级教学实际需要情况增加1～2门。</w:t>
      </w:r>
    </w:p>
    <w:p>
      <w:pPr>
        <w:ind w:firstLine="480" w:firstLineChars="200"/>
      </w:pPr>
      <w:r>
        <w:rPr>
          <w:rFonts w:hint="eastAsia"/>
        </w:rPr>
        <w:t>（3）专业拓展课程</w:t>
      </w:r>
    </w:p>
    <w:p>
      <w:pPr>
        <w:ind w:firstLine="480" w:firstLineChars="200"/>
      </w:pPr>
      <w:r>
        <w:rPr>
          <w:rFonts w:hint="eastAsia"/>
        </w:rPr>
        <w:t>拓展课程设置符合专业发展趋势及学院特色，一般包括三类。一是体现行业发展新技术，能够促进人才某一领域深层次发展或跨界发展的课程，例如物流园区规划设计、智慧物流、物流金融、物联网技术应用等；二是能力提升类课程，如物流专业英语、物流法律法规、数据分析与应用等；三是个性化课程，适应各院校办学特色、区域经济、特点专业定向而开设的课程，如电商物流、国际物流、生产运作与管理、物流企业管理等。在课程设置中，根据学院具体情况进行开设与调整。</w:t>
      </w:r>
    </w:p>
    <w:p>
      <w:pPr>
        <w:ind w:firstLine="480" w:firstLineChars="200"/>
      </w:pPr>
      <w:r>
        <w:rPr>
          <w:rFonts w:hint="eastAsia"/>
        </w:rPr>
        <w:t>3、专业调研与分析</w:t>
      </w:r>
    </w:p>
    <w:p>
      <w:pPr>
        <w:ind w:firstLine="480" w:firstLineChars="200"/>
      </w:pPr>
      <w:r>
        <w:rPr>
          <w:rFonts w:hint="eastAsia"/>
        </w:rPr>
        <w:t>（1）课程体系对能力的促进</w:t>
      </w:r>
    </w:p>
    <w:p>
      <w:pPr>
        <w:ind w:firstLine="480" w:firstLineChars="200"/>
      </w:pPr>
      <w:r>
        <w:rPr>
          <w:rFonts w:hint="eastAsia"/>
        </w:rPr>
        <w:t>通过专业定位和我院物流管理专业的发展现状，通过课程的设立及进行，让学生掌握基本的物流管理专业思维，并掌握一定的工具，为未来职业发展和职业上升提供基础，并构建学生的抗压能力、团队协作能力，以综合提高学生的社会竞争力，因此，在人才培养方案设立过程中提出：“宽基础、重实践、养思维、拓口径、提能力、贯终身”的方针。</w:t>
      </w:r>
    </w:p>
    <w:p>
      <w:pPr>
        <w:ind w:firstLine="480" w:firstLineChars="200"/>
      </w:pPr>
      <w:r>
        <w:rPr>
          <w:rFonts w:hint="eastAsia"/>
        </w:rPr>
        <w:t>（2）课程对工作岗位的帮助调研情况</w:t>
      </w:r>
    </w:p>
    <w:p>
      <w:pPr>
        <w:pStyle w:val="21"/>
        <w:spacing w:beforeLines="0" w:afterLines="0" w:line="240" w:lineRule="auto"/>
        <w:ind w:firstLine="482"/>
        <w:rPr>
          <w:rFonts w:ascii="仿宋_GB2312" w:eastAsia="仿宋_GB2312"/>
          <w:bCs w:val="0"/>
          <w:sz w:val="24"/>
          <w:szCs w:val="24"/>
        </w:rPr>
      </w:pPr>
      <w:r>
        <w:rPr>
          <w:rFonts w:ascii="仿宋_GB2312" w:eastAsia="仿宋_GB2312"/>
          <w:bCs w:val="0"/>
          <w:sz w:val="24"/>
          <w:szCs w:val="24"/>
        </w:rPr>
        <w:drawing>
          <wp:inline distT="0" distB="0" distL="0" distR="0">
            <wp:extent cx="5276850" cy="1981200"/>
            <wp:effectExtent l="19050" t="0" r="0" b="0"/>
            <wp:docPr id="1" name="内容占位符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 name="内容占位符 4"/>
                    <pic:cNvPicPr>
                      <a:picLocks noGrp="1" noChangeAspect="1" noChangeArrowheads="1"/>
                    </pic:cNvPicPr>
                  </pic:nvPicPr>
                  <pic:blipFill>
                    <a:blip r:embed="rId7" cstate="print"/>
                    <a:srcRect/>
                    <a:stretch>
                      <a:fillRect/>
                    </a:stretch>
                  </pic:blipFill>
                  <pic:spPr>
                    <a:xfrm>
                      <a:off x="0" y="0"/>
                      <a:ext cx="5276850" cy="1981200"/>
                    </a:xfrm>
                    <a:prstGeom prst="rect">
                      <a:avLst/>
                    </a:prstGeom>
                    <a:noFill/>
                    <a:ln w="9525">
                      <a:noFill/>
                      <a:miter lim="800000"/>
                      <a:headEnd/>
                      <a:tailEnd/>
                    </a:ln>
                  </pic:spPr>
                </pic:pic>
              </a:graphicData>
            </a:graphic>
          </wp:inline>
        </w:drawing>
      </w:r>
    </w:p>
    <w:p>
      <w:pPr>
        <w:pStyle w:val="21"/>
        <w:spacing w:beforeLines="0" w:afterLines="0" w:line="240" w:lineRule="auto"/>
        <w:ind w:firstLine="480"/>
        <w:jc w:val="center"/>
        <w:rPr>
          <w:rFonts w:ascii="仿宋_GB2312" w:eastAsia="仿宋_GB2312"/>
          <w:b w:val="0"/>
          <w:bCs w:val="0"/>
          <w:sz w:val="24"/>
          <w:szCs w:val="24"/>
        </w:rPr>
      </w:pPr>
      <w:r>
        <w:rPr>
          <w:rFonts w:hint="eastAsia" w:ascii="仿宋_GB2312" w:eastAsia="仿宋_GB2312"/>
          <w:b w:val="0"/>
          <w:bCs w:val="0"/>
          <w:sz w:val="24"/>
          <w:szCs w:val="24"/>
        </w:rPr>
        <w:t>图1 对工作岗位帮助较大的课程</w:t>
      </w:r>
    </w:p>
    <w:p>
      <w:pPr>
        <w:pStyle w:val="21"/>
        <w:spacing w:beforeLines="0" w:afterLines="0" w:line="240" w:lineRule="auto"/>
        <w:ind w:firstLine="482"/>
        <w:jc w:val="center"/>
        <w:rPr>
          <w:rFonts w:ascii="仿宋_GB2312" w:eastAsia="仿宋_GB2312"/>
          <w:bCs w:val="0"/>
          <w:sz w:val="24"/>
          <w:szCs w:val="24"/>
        </w:rPr>
      </w:pPr>
      <w:r>
        <w:rPr>
          <w:rFonts w:ascii="仿宋_GB2312" w:eastAsia="仿宋_GB2312"/>
          <w:bCs w:val="0"/>
          <w:sz w:val="24"/>
          <w:szCs w:val="24"/>
        </w:rPr>
        <w:drawing>
          <wp:inline distT="0" distB="0" distL="0" distR="0">
            <wp:extent cx="5276850" cy="1981200"/>
            <wp:effectExtent l="19050" t="0" r="0" b="0"/>
            <wp:docPr id="2" name="内容占位符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内容占位符 8"/>
                    <pic:cNvPicPr>
                      <a:picLocks noGrp="1" noChangeAspect="1" noChangeArrowheads="1"/>
                    </pic:cNvPicPr>
                  </pic:nvPicPr>
                  <pic:blipFill>
                    <a:blip r:embed="rId8" cstate="print"/>
                    <a:srcRect/>
                    <a:stretch>
                      <a:fillRect/>
                    </a:stretch>
                  </pic:blipFill>
                  <pic:spPr>
                    <a:xfrm>
                      <a:off x="0" y="0"/>
                      <a:ext cx="5276850" cy="1981200"/>
                    </a:xfrm>
                    <a:prstGeom prst="rect">
                      <a:avLst/>
                    </a:prstGeom>
                    <a:noFill/>
                    <a:ln w="9525">
                      <a:noFill/>
                      <a:miter lim="800000"/>
                      <a:headEnd/>
                      <a:tailEnd/>
                    </a:ln>
                  </pic:spPr>
                </pic:pic>
              </a:graphicData>
            </a:graphic>
          </wp:inline>
        </w:drawing>
      </w:r>
    </w:p>
    <w:p>
      <w:pPr>
        <w:pStyle w:val="21"/>
        <w:spacing w:beforeLines="0" w:afterLines="0" w:line="240" w:lineRule="auto"/>
        <w:ind w:firstLine="480"/>
        <w:jc w:val="center"/>
        <w:rPr>
          <w:rFonts w:ascii="仿宋_GB2312" w:eastAsia="仿宋_GB2312"/>
          <w:b w:val="0"/>
          <w:bCs w:val="0"/>
          <w:sz w:val="24"/>
          <w:szCs w:val="24"/>
        </w:rPr>
      </w:pPr>
      <w:r>
        <w:rPr>
          <w:rFonts w:hint="eastAsia" w:ascii="仿宋_GB2312" w:eastAsia="仿宋_GB2312"/>
          <w:b w:val="0"/>
          <w:bCs w:val="0"/>
          <w:sz w:val="24"/>
          <w:szCs w:val="24"/>
        </w:rPr>
        <w:t>图2  从业以后，认为较为重要的课程</w:t>
      </w:r>
    </w:p>
    <w:p>
      <w:pPr>
        <w:pStyle w:val="21"/>
        <w:spacing w:beforeLines="0" w:afterLines="0" w:line="240" w:lineRule="auto"/>
        <w:ind w:firstLine="482"/>
        <w:jc w:val="center"/>
        <w:rPr>
          <w:rFonts w:ascii="仿宋_GB2312" w:eastAsia="仿宋_GB2312"/>
          <w:bCs w:val="0"/>
          <w:sz w:val="24"/>
          <w:szCs w:val="24"/>
        </w:rPr>
      </w:pPr>
      <w:r>
        <w:rPr>
          <w:rFonts w:ascii="仿宋_GB2312" w:eastAsia="仿宋_GB2312"/>
          <w:bCs w:val="0"/>
          <w:sz w:val="24"/>
          <w:szCs w:val="24"/>
        </w:rPr>
        <w:drawing>
          <wp:inline distT="0" distB="0" distL="0" distR="0">
            <wp:extent cx="5276850" cy="1828800"/>
            <wp:effectExtent l="0" t="0" r="0" b="0"/>
            <wp:docPr id="3" name="内容占位符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内容占位符 7"/>
                    <pic:cNvPicPr>
                      <a:picLocks noGrp="1" noChangeAspect="1" noChangeArrowheads="1"/>
                    </pic:cNvPicPr>
                  </pic:nvPicPr>
                  <pic:blipFill>
                    <a:blip r:embed="rId9" cstate="print"/>
                    <a:srcRect/>
                    <a:stretch>
                      <a:fillRect/>
                    </a:stretch>
                  </pic:blipFill>
                  <pic:spPr>
                    <a:xfrm>
                      <a:off x="0" y="0"/>
                      <a:ext cx="5283807" cy="1831211"/>
                    </a:xfrm>
                    <a:prstGeom prst="rect">
                      <a:avLst/>
                    </a:prstGeom>
                    <a:noFill/>
                    <a:ln w="9525">
                      <a:noFill/>
                      <a:miter lim="800000"/>
                      <a:headEnd/>
                      <a:tailEnd/>
                    </a:ln>
                  </pic:spPr>
                </pic:pic>
              </a:graphicData>
            </a:graphic>
          </wp:inline>
        </w:drawing>
      </w:r>
    </w:p>
    <w:p>
      <w:pPr>
        <w:pStyle w:val="21"/>
        <w:spacing w:beforeLines="0" w:afterLines="0" w:line="240" w:lineRule="auto"/>
        <w:ind w:firstLine="480"/>
        <w:jc w:val="center"/>
        <w:rPr>
          <w:rFonts w:ascii="仿宋_GB2312" w:eastAsia="仿宋_GB2312"/>
          <w:b w:val="0"/>
          <w:bCs w:val="0"/>
          <w:sz w:val="24"/>
          <w:szCs w:val="24"/>
        </w:rPr>
      </w:pPr>
      <w:r>
        <w:rPr>
          <w:rFonts w:hint="eastAsia" w:ascii="仿宋_GB2312" w:eastAsia="仿宋_GB2312"/>
          <w:b w:val="0"/>
          <w:bCs w:val="0"/>
          <w:sz w:val="24"/>
          <w:szCs w:val="24"/>
        </w:rPr>
        <w:t>图3 非核心课程对工作帮助较大的课程</w:t>
      </w:r>
    </w:p>
    <w:p>
      <w:pPr>
        <w:pStyle w:val="21"/>
        <w:spacing w:beforeLines="0" w:afterLines="0" w:line="240" w:lineRule="auto"/>
        <w:ind w:firstLine="482"/>
        <w:jc w:val="center"/>
        <w:rPr>
          <w:rFonts w:ascii="仿宋_GB2312" w:eastAsia="仿宋_GB2312"/>
          <w:bCs w:val="0"/>
          <w:sz w:val="24"/>
          <w:szCs w:val="24"/>
        </w:rPr>
      </w:pPr>
      <w:r>
        <w:rPr>
          <w:rFonts w:ascii="仿宋_GB2312" w:eastAsia="仿宋_GB2312"/>
          <w:bCs w:val="0"/>
          <w:sz w:val="24"/>
          <w:szCs w:val="24"/>
        </w:rPr>
        <w:drawing>
          <wp:inline distT="0" distB="0" distL="0" distR="0">
            <wp:extent cx="5276850" cy="1981200"/>
            <wp:effectExtent l="19050" t="0" r="0" b="0"/>
            <wp:docPr id="4" name="内容占位符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内容占位符 7"/>
                    <pic:cNvPicPr>
                      <a:picLocks noGrp="1" noChangeAspect="1" noChangeArrowheads="1"/>
                    </pic:cNvPicPr>
                  </pic:nvPicPr>
                  <pic:blipFill>
                    <a:blip r:embed="rId10" cstate="print"/>
                    <a:srcRect/>
                    <a:stretch>
                      <a:fillRect/>
                    </a:stretch>
                  </pic:blipFill>
                  <pic:spPr>
                    <a:xfrm>
                      <a:off x="0" y="0"/>
                      <a:ext cx="5276850" cy="1981200"/>
                    </a:xfrm>
                    <a:prstGeom prst="rect">
                      <a:avLst/>
                    </a:prstGeom>
                    <a:noFill/>
                    <a:ln w="9525">
                      <a:noFill/>
                      <a:miter lim="800000"/>
                      <a:headEnd/>
                      <a:tailEnd/>
                    </a:ln>
                  </pic:spPr>
                </pic:pic>
              </a:graphicData>
            </a:graphic>
          </wp:inline>
        </w:drawing>
      </w:r>
    </w:p>
    <w:p>
      <w:pPr>
        <w:jc w:val="center"/>
        <w:rPr>
          <w:rFonts w:ascii="仿宋_GB2312" w:hAnsi="Calibri" w:eastAsia="仿宋_GB2312"/>
          <w:color w:val="000000"/>
          <w:szCs w:val="21"/>
        </w:rPr>
      </w:pPr>
      <w:r>
        <w:rPr>
          <w:rFonts w:hint="eastAsia" w:ascii="仿宋_GB2312" w:hAnsi="Calibri" w:eastAsia="仿宋_GB2312"/>
          <w:color w:val="000000"/>
          <w:szCs w:val="21"/>
        </w:rPr>
        <w:t>图4 物流企业重视的内容</w:t>
      </w:r>
    </w:p>
    <w:p>
      <w:pPr>
        <w:pStyle w:val="21"/>
        <w:spacing w:beforeLines="0" w:afterLines="0" w:line="240" w:lineRule="auto"/>
        <w:ind w:firstLine="482"/>
        <w:jc w:val="center"/>
        <w:rPr>
          <w:rFonts w:ascii="仿宋_GB2312" w:eastAsia="仿宋_GB2312"/>
          <w:b w:val="0"/>
          <w:bCs w:val="0"/>
          <w:sz w:val="24"/>
          <w:szCs w:val="24"/>
        </w:rPr>
      </w:pPr>
      <w:r>
        <w:rPr>
          <w:rFonts w:ascii="仿宋_GB2312" w:eastAsia="仿宋_GB2312"/>
          <w:bCs w:val="0"/>
          <w:sz w:val="24"/>
          <w:szCs w:val="24"/>
        </w:rPr>
        <w:drawing>
          <wp:inline distT="0" distB="0" distL="0" distR="0">
            <wp:extent cx="4858385" cy="3391535"/>
            <wp:effectExtent l="0" t="0" r="0" b="0"/>
            <wp:docPr id="5" name="内容占位符 8"/>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8"/>
                    <pic:cNvPicPr>
                      <a:picLocks noGrp="1" noChangeAspect="1" noChangeArrowheads="1"/>
                    </pic:cNvPicPr>
                  </pic:nvPicPr>
                  <pic:blipFill>
                    <a:blip r:embed="rId11" cstate="print"/>
                    <a:srcRect/>
                    <a:stretch>
                      <a:fillRect/>
                    </a:stretch>
                  </pic:blipFill>
                  <pic:spPr>
                    <a:xfrm>
                      <a:off x="0" y="0"/>
                      <a:ext cx="4889816" cy="3413640"/>
                    </a:xfrm>
                    <a:prstGeom prst="rect">
                      <a:avLst/>
                    </a:prstGeom>
                    <a:noFill/>
                    <a:ln w="9525">
                      <a:noFill/>
                      <a:miter lim="800000"/>
                      <a:headEnd/>
                      <a:tailEnd/>
                    </a:ln>
                  </pic:spPr>
                </pic:pic>
              </a:graphicData>
            </a:graphic>
          </wp:inline>
        </w:drawing>
      </w:r>
    </w:p>
    <w:p>
      <w:pPr>
        <w:jc w:val="center"/>
        <w:rPr>
          <w:rFonts w:ascii="仿宋_GB2312" w:hAnsi="Calibri" w:eastAsia="仿宋_GB2312"/>
          <w:color w:val="000000"/>
          <w:sz w:val="28"/>
          <w:szCs w:val="22"/>
        </w:rPr>
      </w:pPr>
      <w:r>
        <w:rPr>
          <w:rFonts w:ascii="仿宋_GB2312" w:hAnsi="Calibri" w:eastAsia="仿宋_GB2312"/>
          <w:color w:val="000000"/>
          <w:sz w:val="28"/>
          <w:szCs w:val="22"/>
        </w:rPr>
        <w:drawing>
          <wp:inline distT="0" distB="0" distL="0" distR="0">
            <wp:extent cx="5029200" cy="2360295"/>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noChangeArrowheads="1"/>
                    </pic:cNvPicPr>
                  </pic:nvPicPr>
                  <pic:blipFill>
                    <a:blip r:embed="rId12" cstate="print"/>
                    <a:srcRect/>
                    <a:stretch>
                      <a:fillRect/>
                    </a:stretch>
                  </pic:blipFill>
                  <pic:spPr>
                    <a:xfrm>
                      <a:off x="0" y="0"/>
                      <a:ext cx="5036907" cy="2364045"/>
                    </a:xfrm>
                    <a:prstGeom prst="rect">
                      <a:avLst/>
                    </a:prstGeom>
                    <a:noFill/>
                  </pic:spPr>
                </pic:pic>
              </a:graphicData>
            </a:graphic>
          </wp:inline>
        </w:drawing>
      </w:r>
    </w:p>
    <w:p>
      <w:pPr>
        <w:jc w:val="center"/>
        <w:rPr>
          <w:rFonts w:ascii="仿宋_GB2312" w:hAnsi="Calibri" w:eastAsia="仿宋_GB2312"/>
          <w:color w:val="000000"/>
          <w:sz w:val="28"/>
          <w:szCs w:val="22"/>
        </w:rPr>
      </w:pPr>
      <w:r>
        <w:rPr>
          <w:rFonts w:hint="eastAsia" w:ascii="仿宋_GB2312" w:hAnsi="Calibri" w:eastAsia="仿宋_GB2312"/>
          <w:color w:val="000000"/>
          <w:szCs w:val="21"/>
        </w:rPr>
        <w:t>图5 企业对于高职毕业生职业核心能力的重要性评价</w:t>
      </w:r>
    </w:p>
    <w:p>
      <w:pPr>
        <w:ind w:firstLine="480" w:firstLineChars="200"/>
      </w:pPr>
      <w:r>
        <w:rPr>
          <w:rFonts w:hint="eastAsia"/>
        </w:rPr>
        <w:t>以上数据显示企业对于学生与人合作能力、与人交流能力和解决问题的能力非常看重，这与现在大多数企业对新员工的核心能力要求基本相符；企业对信息处理能力的重要性一般看重，这也反映出了目前现代物流企业信息化作业水平有待提升，对于这方面的人才需求还未充分体现出来；企业对毕业生的自我学习能力一般看重，说明企业对于员工终身学习的意识还有待强化。</w:t>
      </w:r>
    </w:p>
    <w:p>
      <w:pPr>
        <w:ind w:firstLine="480" w:firstLineChars="200"/>
      </w:pPr>
      <w:r>
        <w:rPr>
          <w:rFonts w:hint="eastAsia"/>
        </w:rPr>
        <w:t>在专业能力方面，数据显示企业对高职学生专业能力的重要度主要有物流市场拓展能力、物流信息管理能力、生产物流管理能力、仓储作业能力、配送管理能力、运输管理能力、作业方案优化设计能力、物流规划能力。</w:t>
      </w:r>
    </w:p>
    <w:p>
      <w:pPr>
        <w:ind w:firstLine="480" w:firstLineChars="200"/>
      </w:pPr>
      <w:r>
        <w:rPr>
          <w:rFonts w:hint="eastAsia"/>
        </w:rPr>
        <w:t>（3）课程体系保障</w:t>
      </w:r>
    </w:p>
    <w:p>
      <w:pPr>
        <w:ind w:firstLine="480" w:firstLineChars="200"/>
      </w:pPr>
      <w:r>
        <w:rPr>
          <w:rFonts w:hint="eastAsia"/>
        </w:rPr>
        <w:t>建立“企业教学各环节基本要求”和“顶岗实习管理制度”等校企共同开展人才培养的基础性文件，从制度上确保企业全程、深度融入人才培养过程。聘请行业主管部门管理人员、龙头物流企业高级管理人员、企业能工巧匠等组建专业建设委员会，在专业建设、人才定位、实践教学、学生就业等方面发挥重要作用，对人才培养方案进行优化。以企业人才需求为导向，推进与“三进三出”人才培养模式相适应的教学组织模式，如下图：</w:t>
      </w:r>
    </w:p>
    <w:p>
      <w:pPr>
        <w:autoSpaceDE w:val="0"/>
        <w:autoSpaceDN w:val="0"/>
        <w:adjustRightInd w:val="0"/>
        <w:jc w:val="center"/>
        <w:rPr>
          <w:rFonts w:ascii="仿宋_GB2312" w:eastAsia="仿宋_GB2312"/>
        </w:rPr>
      </w:pPr>
      <w:r>
        <w:drawing>
          <wp:inline distT="0" distB="0" distL="0" distR="0">
            <wp:extent cx="4162425" cy="3276600"/>
            <wp:effectExtent l="19050" t="0" r="9525" b="0"/>
            <wp:docPr id="7" name="图片 1" descr="wps3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wps3544"/>
                    <pic:cNvPicPr>
                      <a:picLocks noChangeAspect="1" noChangeArrowheads="1"/>
                    </pic:cNvPicPr>
                  </pic:nvPicPr>
                  <pic:blipFill>
                    <a:blip r:embed="rId13" cstate="print"/>
                    <a:srcRect/>
                    <a:stretch>
                      <a:fillRect/>
                    </a:stretch>
                  </pic:blipFill>
                  <pic:spPr>
                    <a:xfrm>
                      <a:off x="0" y="0"/>
                      <a:ext cx="4162425" cy="3276600"/>
                    </a:xfrm>
                    <a:prstGeom prst="rect">
                      <a:avLst/>
                    </a:prstGeom>
                    <a:noFill/>
                    <a:ln w="9525">
                      <a:noFill/>
                      <a:miter lim="800000"/>
                      <a:headEnd/>
                      <a:tailEnd/>
                    </a:ln>
                  </pic:spPr>
                </pic:pic>
              </a:graphicData>
            </a:graphic>
          </wp:inline>
        </w:drawing>
      </w:r>
    </w:p>
    <w:p>
      <w:pPr>
        <w:adjustRightInd w:val="0"/>
        <w:snapToGrid w:val="0"/>
        <w:jc w:val="center"/>
        <w:rPr>
          <w:rFonts w:ascii="仿宋_GB2312" w:eastAsia="仿宋_GB2312"/>
          <w:b/>
          <w:bCs/>
        </w:rPr>
      </w:pPr>
      <w:r>
        <w:rPr>
          <w:rFonts w:hint="eastAsia" w:ascii="仿宋_GB2312" w:eastAsia="仿宋_GB2312"/>
          <w:b/>
          <w:bCs/>
        </w:rPr>
        <w:t xml:space="preserve"> 图6</w:t>
      </w:r>
      <w:r>
        <w:rPr>
          <w:rFonts w:ascii="仿宋_GB2312" w:eastAsia="仿宋_GB2312"/>
          <w:b/>
          <w:bCs/>
        </w:rPr>
        <w:t xml:space="preserve"> </w:t>
      </w:r>
      <w:r>
        <w:rPr>
          <w:rFonts w:hint="eastAsia" w:ascii="仿宋_GB2312" w:eastAsia="仿宋_GB2312"/>
          <w:b/>
          <w:bCs/>
        </w:rPr>
        <w:t>三进三出人才培养模式表</w:t>
      </w:r>
    </w:p>
    <w:p>
      <w:pPr>
        <w:pStyle w:val="3"/>
      </w:pPr>
      <w:r>
        <w:rPr>
          <w:rFonts w:hint="eastAsia"/>
        </w:rPr>
        <w:t>（二）专业核心课程描述（5—7门）</w:t>
      </w:r>
    </w:p>
    <w:p>
      <w:pPr>
        <w:pStyle w:val="4"/>
      </w:pPr>
      <w:r>
        <w:t>1</w:t>
      </w:r>
      <w:r>
        <w:rPr>
          <w:rFonts w:hint="eastAsia"/>
        </w:rPr>
        <w:t>．《仓储作业管理》课程描述</w:t>
      </w:r>
    </w:p>
    <w:tbl>
      <w:tblPr>
        <w:tblStyle w:val="11"/>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《仓储作业管理》</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182WG26B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3</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）掌握一般仓储作业的内容；</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）掌握仓储作业计划的制定；</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）掌握仓储作业的程序和要求；</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）了解仓储发展的趋势和方向；</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）熟悉仓储设备的分类及应用。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）具有仓储知识的能力；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）具有仓储设备操作的能力；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）具有仓储计划的能力；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1、仓储的一般概念及分类；</w:t>
            </w:r>
          </w:p>
          <w:p>
            <w:pPr>
              <w:widowControl/>
              <w:spacing w:line="240" w:lineRule="atLeast"/>
              <w:jc w:val="left"/>
              <w:rPr>
                <w:rFonts w:ascii="仿宋" w:hAnsi="仿宋" w:cs="宋体"/>
                <w:kern w:val="0"/>
              </w:rPr>
            </w:pPr>
            <w:r>
              <w:rPr>
                <w:rFonts w:hint="eastAsia" w:ascii="仿宋" w:hAnsi="仿宋" w:cs="宋体"/>
                <w:kern w:val="0"/>
              </w:rPr>
              <w:t>2、仓储计划及实施；</w:t>
            </w:r>
          </w:p>
          <w:p>
            <w:pPr>
              <w:widowControl/>
              <w:spacing w:line="240" w:lineRule="atLeast"/>
              <w:jc w:val="left"/>
              <w:rPr>
                <w:rFonts w:ascii="仿宋" w:hAnsi="仿宋" w:cs="宋体"/>
                <w:kern w:val="0"/>
              </w:rPr>
            </w:pPr>
            <w:r>
              <w:rPr>
                <w:rFonts w:hint="eastAsia" w:ascii="仿宋" w:hAnsi="仿宋" w:cs="宋体"/>
                <w:kern w:val="0"/>
              </w:rPr>
              <w:t>3、仓储入库、在库及出库作业及管理；</w:t>
            </w:r>
          </w:p>
          <w:p>
            <w:pPr>
              <w:widowControl/>
              <w:spacing w:line="240" w:lineRule="atLeast"/>
              <w:jc w:val="left"/>
              <w:rPr>
                <w:rFonts w:ascii="仿宋" w:hAnsi="仿宋" w:cs="宋体"/>
                <w:kern w:val="0"/>
              </w:rPr>
            </w:pPr>
            <w:r>
              <w:rPr>
                <w:rFonts w:hint="eastAsia" w:ascii="仿宋" w:hAnsi="仿宋" w:cs="宋体"/>
                <w:kern w:val="0"/>
              </w:rPr>
              <w:t>4、仓储绩效；</w:t>
            </w:r>
          </w:p>
          <w:p>
            <w:pPr>
              <w:widowControl/>
              <w:spacing w:line="240" w:lineRule="atLeast"/>
              <w:jc w:val="left"/>
              <w:rPr>
                <w:rFonts w:ascii="仿宋" w:hAnsi="仿宋" w:cs="宋体"/>
                <w:kern w:val="0"/>
              </w:rPr>
            </w:pPr>
            <w:r>
              <w:rPr>
                <w:rFonts w:hint="eastAsia" w:ascii="仿宋" w:hAnsi="仿宋" w:cs="宋体"/>
                <w:kern w:val="0"/>
              </w:rPr>
              <w:t>5、仓储信息技术的应用。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r>
              <w:rPr>
                <w:rFonts w:hint="eastAsia" w:ascii="仿宋" w:hAnsi="仿宋" w:cs="宋体"/>
                <w:kern w:val="0"/>
              </w:rPr>
              <w:t>3、以赛促练；</w:t>
            </w:r>
          </w:p>
          <w:p>
            <w:pPr>
              <w:widowControl/>
              <w:adjustRightInd w:val="0"/>
              <w:snapToGrid w:val="0"/>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1、以赛代考；</w:t>
            </w:r>
          </w:p>
          <w:p>
            <w:pPr>
              <w:widowControl/>
              <w:spacing w:line="240" w:lineRule="atLeast"/>
              <w:jc w:val="left"/>
              <w:rPr>
                <w:rFonts w:ascii="仿宋" w:hAnsi="仿宋" w:cs="宋体"/>
                <w:kern w:val="0"/>
              </w:rPr>
            </w:pPr>
            <w:r>
              <w:rPr>
                <w:rFonts w:hint="eastAsia" w:ascii="仿宋" w:hAnsi="仿宋" w:cs="宋体"/>
                <w:kern w:val="0"/>
              </w:rPr>
              <w:t>2、理论与实践相结合。</w:t>
            </w:r>
          </w:p>
        </w:tc>
      </w:tr>
    </w:tbl>
    <w:p>
      <w:pPr>
        <w:pStyle w:val="4"/>
      </w:pPr>
      <w:r>
        <w:rPr>
          <w:rFonts w:hint="eastAsia"/>
        </w:rPr>
        <w:t>2．《运输管理》课程描述</w:t>
      </w:r>
    </w:p>
    <w:tbl>
      <w:tblPr>
        <w:tblStyle w:val="11"/>
        <w:tblW w:w="92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084"/>
        <w:gridCol w:w="1028"/>
        <w:gridCol w:w="1476"/>
        <w:gridCol w:w="1851"/>
        <w:gridCol w:w="1354"/>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2789"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27"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《运输管理》</w:t>
            </w:r>
            <w:r>
              <w:rPr>
                <w:rFonts w:ascii="宋体" w:cs="宋体"/>
                <w:kern w:val="0"/>
              </w:rPr>
              <w:t> </w:t>
            </w:r>
          </w:p>
        </w:tc>
        <w:tc>
          <w:tcPr>
            <w:tcW w:w="135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182WG28B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jc w:val="center"/>
        </w:trPr>
        <w:tc>
          <w:tcPr>
            <w:tcW w:w="176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5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3</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6" w:hRule="atLeast"/>
          <w:jc w:val="center"/>
        </w:trPr>
        <w:tc>
          <w:tcPr>
            <w:tcW w:w="677"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55"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）掌握常见的运输方式；</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）掌握不同运输方式的特征；</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）掌握货物积载的方法；</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）了解运输发展的趋势和方向；</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）熟悉运输设备的分类及应用。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5" w:hRule="atLeast"/>
          <w:jc w:val="center"/>
        </w:trPr>
        <w:tc>
          <w:tcPr>
            <w:tcW w:w="6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55"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）具有运输知识的能力；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）具有运输设备操作的能力；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）具有运输计划及调度的能力；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4" w:hRule="atLeast"/>
          <w:jc w:val="center"/>
        </w:trPr>
        <w:tc>
          <w:tcPr>
            <w:tcW w:w="67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55"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4" w:hRule="atLeast"/>
          <w:jc w:val="center"/>
        </w:trPr>
        <w:tc>
          <w:tcPr>
            <w:tcW w:w="6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39"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1、运输及运输方式的一般概念及分类；</w:t>
            </w:r>
          </w:p>
          <w:p>
            <w:pPr>
              <w:widowControl/>
              <w:spacing w:line="240" w:lineRule="atLeast"/>
              <w:jc w:val="left"/>
              <w:rPr>
                <w:rFonts w:ascii="仿宋" w:hAnsi="仿宋" w:cs="宋体"/>
                <w:kern w:val="0"/>
              </w:rPr>
            </w:pPr>
            <w:r>
              <w:rPr>
                <w:rFonts w:hint="eastAsia" w:ascii="仿宋" w:hAnsi="仿宋" w:cs="宋体"/>
                <w:kern w:val="0"/>
              </w:rPr>
              <w:t>2、运输计划及实施；</w:t>
            </w:r>
          </w:p>
          <w:p>
            <w:pPr>
              <w:widowControl/>
              <w:spacing w:line="240" w:lineRule="atLeast"/>
              <w:jc w:val="left"/>
              <w:rPr>
                <w:rFonts w:ascii="仿宋" w:hAnsi="仿宋" w:cs="宋体"/>
                <w:kern w:val="0"/>
              </w:rPr>
            </w:pPr>
            <w:r>
              <w:rPr>
                <w:rFonts w:hint="eastAsia" w:ascii="仿宋" w:hAnsi="仿宋" w:cs="宋体"/>
                <w:kern w:val="0"/>
              </w:rPr>
              <w:t>3、运输积载及运输调度；</w:t>
            </w:r>
          </w:p>
          <w:p>
            <w:pPr>
              <w:widowControl/>
              <w:spacing w:line="240" w:lineRule="atLeast"/>
              <w:jc w:val="left"/>
              <w:rPr>
                <w:rFonts w:ascii="仿宋" w:hAnsi="仿宋" w:cs="宋体"/>
                <w:kern w:val="0"/>
              </w:rPr>
            </w:pPr>
            <w:r>
              <w:rPr>
                <w:rFonts w:hint="eastAsia" w:ascii="仿宋" w:hAnsi="仿宋" w:cs="宋体"/>
                <w:kern w:val="0"/>
              </w:rPr>
              <w:t>4、运输绩效；</w:t>
            </w:r>
          </w:p>
          <w:p>
            <w:pPr>
              <w:widowControl/>
              <w:spacing w:line="240" w:lineRule="atLeast"/>
              <w:jc w:val="left"/>
              <w:rPr>
                <w:rFonts w:ascii="仿宋" w:hAnsi="仿宋" w:cs="宋体"/>
                <w:kern w:val="0"/>
              </w:rPr>
            </w:pPr>
            <w:r>
              <w:rPr>
                <w:rFonts w:hint="eastAsia" w:ascii="仿宋" w:hAnsi="仿宋" w:cs="宋体"/>
                <w:kern w:val="0"/>
              </w:rPr>
              <w:t>5、运输信息技术的应用。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jc w:val="center"/>
        </w:trPr>
        <w:tc>
          <w:tcPr>
            <w:tcW w:w="6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39"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r>
              <w:rPr>
                <w:rFonts w:hint="eastAsia" w:ascii="仿宋" w:hAnsi="仿宋" w:cs="宋体"/>
                <w:kern w:val="0"/>
              </w:rPr>
              <w:t>3、以赛促练；</w:t>
            </w:r>
          </w:p>
          <w:p>
            <w:pPr>
              <w:widowControl/>
              <w:adjustRightInd w:val="0"/>
              <w:snapToGrid w:val="0"/>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4" w:hRule="atLeast"/>
          <w:jc w:val="center"/>
        </w:trPr>
        <w:tc>
          <w:tcPr>
            <w:tcW w:w="67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39"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1、以赛代考；</w:t>
            </w:r>
          </w:p>
          <w:p>
            <w:pPr>
              <w:widowControl/>
              <w:spacing w:line="240" w:lineRule="atLeast"/>
              <w:jc w:val="left"/>
              <w:rPr>
                <w:rFonts w:ascii="仿宋" w:hAnsi="仿宋" w:cs="宋体"/>
                <w:kern w:val="0"/>
              </w:rPr>
            </w:pPr>
            <w:r>
              <w:rPr>
                <w:rFonts w:hint="eastAsia" w:ascii="仿宋" w:hAnsi="仿宋" w:cs="宋体"/>
                <w:kern w:val="0"/>
              </w:rPr>
              <w:t>2、理论与实践相结合。</w:t>
            </w:r>
          </w:p>
        </w:tc>
      </w:tr>
    </w:tbl>
    <w:p>
      <w:pPr>
        <w:widowControl/>
        <w:shd w:val="clear" w:color="auto" w:fill="FFFFFF"/>
        <w:spacing w:line="480" w:lineRule="exact"/>
        <w:ind w:firstLine="482" w:firstLineChars="200"/>
        <w:jc w:val="left"/>
        <w:rPr>
          <w:rFonts w:ascii="仿宋" w:hAnsi="仿宋" w:cs="宋体"/>
          <w:b/>
          <w:kern w:val="0"/>
        </w:rPr>
      </w:pPr>
    </w:p>
    <w:p>
      <w:pPr>
        <w:pStyle w:val="4"/>
      </w:pPr>
      <w:r>
        <w:rPr>
          <w:rFonts w:hint="eastAsia"/>
        </w:rPr>
        <w:t>3．《配送管理》课程描述</w:t>
      </w:r>
    </w:p>
    <w:tbl>
      <w:tblPr>
        <w:tblStyle w:val="11"/>
        <w:tblW w:w="92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1082"/>
        <w:gridCol w:w="1027"/>
        <w:gridCol w:w="1473"/>
        <w:gridCol w:w="1848"/>
        <w:gridCol w:w="1352"/>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2785"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21"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《配送管理》</w:t>
            </w:r>
            <w:r>
              <w:rPr>
                <w:rFonts w:ascii="宋体" w:cs="宋体"/>
                <w:kern w:val="0"/>
              </w:rPr>
              <w:t> </w:t>
            </w:r>
          </w:p>
        </w:tc>
        <w:tc>
          <w:tcPr>
            <w:tcW w:w="135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182WG27B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jc w:val="center"/>
        </w:trPr>
        <w:tc>
          <w:tcPr>
            <w:tcW w:w="1758"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7"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3</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1" w:hRule="atLeast"/>
          <w:jc w:val="center"/>
        </w:trPr>
        <w:tc>
          <w:tcPr>
            <w:tcW w:w="676"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43"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）掌握一般配送作业的内容；</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）掌握配送作业计划的制定；</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）掌握配送作业的程序和要求；</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）了解配送发展的趋势和方向；</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）熟悉配送作业设备的分类及应用。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9" w:hRule="atLeast"/>
          <w:jc w:val="center"/>
        </w:trPr>
        <w:tc>
          <w:tcPr>
            <w:tcW w:w="6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43"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）具有配送知识的能力；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）具有配送设备操作的能力；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）具有配送作业计划的能力；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6" w:hRule="atLeast"/>
          <w:jc w:val="center"/>
        </w:trPr>
        <w:tc>
          <w:tcPr>
            <w:tcW w:w="67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43"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25"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1、配送及配送中心的概念及分类；</w:t>
            </w:r>
          </w:p>
          <w:p>
            <w:pPr>
              <w:widowControl/>
              <w:spacing w:line="240" w:lineRule="atLeast"/>
              <w:jc w:val="left"/>
              <w:rPr>
                <w:rFonts w:ascii="仿宋" w:hAnsi="仿宋" w:cs="宋体"/>
                <w:kern w:val="0"/>
              </w:rPr>
            </w:pPr>
            <w:r>
              <w:rPr>
                <w:rFonts w:hint="eastAsia" w:ascii="仿宋" w:hAnsi="仿宋" w:cs="宋体"/>
                <w:kern w:val="0"/>
              </w:rPr>
              <w:t>2、配送计划及实施；</w:t>
            </w:r>
          </w:p>
          <w:p>
            <w:pPr>
              <w:widowControl/>
              <w:spacing w:line="240" w:lineRule="atLeast"/>
              <w:jc w:val="left"/>
              <w:rPr>
                <w:rFonts w:ascii="仿宋" w:hAnsi="仿宋" w:cs="宋体"/>
                <w:kern w:val="0"/>
              </w:rPr>
            </w:pPr>
            <w:r>
              <w:rPr>
                <w:rFonts w:hint="eastAsia" w:ascii="仿宋" w:hAnsi="仿宋" w:cs="宋体"/>
                <w:kern w:val="0"/>
              </w:rPr>
              <w:t>3、配送作业及管理；</w:t>
            </w:r>
          </w:p>
          <w:p>
            <w:pPr>
              <w:widowControl/>
              <w:spacing w:line="240" w:lineRule="atLeast"/>
              <w:jc w:val="left"/>
              <w:rPr>
                <w:rFonts w:ascii="仿宋" w:hAnsi="仿宋" w:cs="宋体"/>
                <w:kern w:val="0"/>
              </w:rPr>
            </w:pPr>
            <w:r>
              <w:rPr>
                <w:rFonts w:hint="eastAsia" w:ascii="仿宋" w:hAnsi="仿宋" w:cs="宋体"/>
                <w:kern w:val="0"/>
              </w:rPr>
              <w:t>4、配送绩效；</w:t>
            </w:r>
          </w:p>
          <w:p>
            <w:pPr>
              <w:widowControl/>
              <w:spacing w:line="240" w:lineRule="atLeast"/>
              <w:jc w:val="left"/>
              <w:rPr>
                <w:rFonts w:ascii="仿宋" w:hAnsi="仿宋" w:cs="宋体"/>
                <w:kern w:val="0"/>
              </w:rPr>
            </w:pPr>
            <w:r>
              <w:rPr>
                <w:rFonts w:hint="eastAsia" w:ascii="仿宋" w:hAnsi="仿宋" w:cs="宋体"/>
                <w:kern w:val="0"/>
              </w:rPr>
              <w:t>5、配送信息技术的应用。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25"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r>
              <w:rPr>
                <w:rFonts w:hint="eastAsia" w:ascii="仿宋" w:hAnsi="仿宋" w:cs="宋体"/>
                <w:kern w:val="0"/>
              </w:rPr>
              <w:t>3、以赛促练；</w:t>
            </w:r>
          </w:p>
          <w:p>
            <w:pPr>
              <w:widowControl/>
              <w:adjustRightInd w:val="0"/>
              <w:snapToGrid w:val="0"/>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7" w:hRule="atLeast"/>
          <w:jc w:val="center"/>
        </w:trPr>
        <w:tc>
          <w:tcPr>
            <w:tcW w:w="676"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25"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1、以赛代考；</w:t>
            </w:r>
          </w:p>
          <w:p>
            <w:pPr>
              <w:widowControl/>
              <w:spacing w:line="240" w:lineRule="atLeast"/>
              <w:jc w:val="left"/>
              <w:rPr>
                <w:rFonts w:ascii="仿宋" w:hAnsi="仿宋" w:cs="宋体"/>
                <w:kern w:val="0"/>
              </w:rPr>
            </w:pPr>
            <w:r>
              <w:rPr>
                <w:rFonts w:hint="eastAsia" w:ascii="仿宋" w:hAnsi="仿宋" w:cs="宋体"/>
                <w:kern w:val="0"/>
              </w:rPr>
              <w:t>2、理论与实践相结合。</w:t>
            </w:r>
          </w:p>
        </w:tc>
      </w:tr>
    </w:tbl>
    <w:p>
      <w:pPr>
        <w:widowControl/>
        <w:shd w:val="clear" w:color="auto" w:fill="FFFFFF"/>
        <w:spacing w:line="480" w:lineRule="exact"/>
        <w:ind w:firstLine="482" w:firstLineChars="200"/>
        <w:jc w:val="left"/>
        <w:rPr>
          <w:rFonts w:ascii="仿宋" w:hAnsi="仿宋" w:cs="宋体"/>
          <w:b/>
          <w:kern w:val="0"/>
        </w:rPr>
      </w:pPr>
    </w:p>
    <w:p>
      <w:pPr>
        <w:pStyle w:val="4"/>
      </w:pPr>
      <w:r>
        <w:rPr>
          <w:rFonts w:hint="eastAsia"/>
        </w:rPr>
        <w:t>4．《生产运作管理》课程描述</w:t>
      </w:r>
    </w:p>
    <w:tbl>
      <w:tblPr>
        <w:tblStyle w:val="11"/>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《生产运作管理》</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182WG29B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4</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5"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（1）了解生产运作管理在企业经营中的重要性；</w:t>
            </w:r>
          </w:p>
          <w:p>
            <w:pPr>
              <w:widowControl/>
              <w:spacing w:line="240" w:lineRule="atLeast"/>
              <w:jc w:val="left"/>
              <w:rPr>
                <w:rFonts w:ascii="仿宋" w:hAnsi="仿宋" w:cs="宋体"/>
                <w:kern w:val="0"/>
              </w:rPr>
            </w:pPr>
            <w:r>
              <w:rPr>
                <w:rFonts w:hint="eastAsia" w:ascii="仿宋" w:hAnsi="仿宋" w:cs="宋体"/>
                <w:kern w:val="0"/>
              </w:rPr>
              <w:t>（2）把握生产运作管理与企业其它职能管理(财务、营销、人力资源等)之间的关系；</w:t>
            </w:r>
          </w:p>
          <w:p>
            <w:pPr>
              <w:widowControl/>
              <w:spacing w:line="240" w:lineRule="atLeast"/>
              <w:jc w:val="left"/>
              <w:rPr>
                <w:rFonts w:ascii="仿宋" w:hAnsi="仿宋" w:cs="宋体"/>
                <w:kern w:val="0"/>
              </w:rPr>
            </w:pPr>
            <w:r>
              <w:rPr>
                <w:rFonts w:hint="eastAsia" w:ascii="仿宋" w:hAnsi="仿宋" w:cs="宋体"/>
                <w:kern w:val="0"/>
              </w:rPr>
              <w:t>（3）全面了解生产运作管理的内容和方法体系；</w:t>
            </w:r>
          </w:p>
          <w:p>
            <w:pPr>
              <w:widowControl/>
              <w:spacing w:line="240" w:lineRule="atLeast"/>
              <w:jc w:val="left"/>
              <w:rPr>
                <w:rFonts w:ascii="仿宋" w:hAnsi="仿宋" w:cs="宋体"/>
                <w:kern w:val="0"/>
              </w:rPr>
            </w:pPr>
            <w:r>
              <w:rPr>
                <w:rFonts w:hint="eastAsia" w:ascii="仿宋" w:hAnsi="仿宋" w:cs="宋体"/>
                <w:kern w:val="0"/>
              </w:rPr>
              <w:t>（4）学会运用生产运作管理的新思想与新方法分析解决实际问题。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7"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（1）初步树立正确的设计与规划思想；</w:t>
            </w:r>
          </w:p>
          <w:p>
            <w:pPr>
              <w:widowControl/>
              <w:spacing w:line="240" w:lineRule="atLeast"/>
              <w:jc w:val="left"/>
              <w:rPr>
                <w:rFonts w:ascii="仿宋" w:hAnsi="仿宋" w:cs="宋体"/>
                <w:kern w:val="0"/>
              </w:rPr>
            </w:pPr>
            <w:r>
              <w:rPr>
                <w:rFonts w:hint="eastAsia" w:ascii="仿宋" w:hAnsi="仿宋" w:cs="宋体"/>
                <w:kern w:val="0"/>
              </w:rPr>
              <w:t>（2）培养学生运用所学专业知识分析和解决实际技术问题的能力；</w:t>
            </w:r>
          </w:p>
          <w:p>
            <w:pPr>
              <w:widowControl/>
              <w:spacing w:line="240" w:lineRule="atLeast"/>
              <w:jc w:val="left"/>
            </w:pPr>
            <w:r>
              <w:rPr>
                <w:rFonts w:hint="eastAsia" w:ascii="仿宋" w:hAnsi="仿宋" w:cs="宋体"/>
                <w:kern w:val="0"/>
              </w:rPr>
              <w:t>（3）具有利用专业思维进行思考和解决问题的思想。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8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 xml:space="preserve">1、生产与运作管理概述 </w:t>
            </w:r>
          </w:p>
          <w:p>
            <w:r>
              <w:rPr>
                <w:rFonts w:hint="eastAsia"/>
              </w:rPr>
              <w:t xml:space="preserve">2、生产系统的布局 </w:t>
            </w:r>
          </w:p>
          <w:p>
            <w:r>
              <w:rPr>
                <w:rFonts w:hint="eastAsia"/>
              </w:rPr>
              <w:t>3、生产能力与生产计划</w:t>
            </w:r>
          </w:p>
          <w:p>
            <w:r>
              <w:rPr>
                <w:rFonts w:hint="eastAsia"/>
              </w:rPr>
              <w:t xml:space="preserve">4、生产控制 </w:t>
            </w:r>
          </w:p>
          <w:p>
            <w:r>
              <w:rPr>
                <w:rFonts w:hint="eastAsia"/>
              </w:rPr>
              <w:t>5、设备管理</w:t>
            </w:r>
          </w:p>
          <w:p>
            <w:r>
              <w:rPr>
                <w:rFonts w:hint="eastAsia"/>
              </w:rPr>
              <w:t>6、生产现场管理</w:t>
            </w:r>
          </w:p>
          <w:p>
            <w:r>
              <w:rPr>
                <w:rFonts w:hint="eastAsia"/>
              </w:rPr>
              <w:t>7、先进生产方式与理论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4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7"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1、理论与实践相结合。</w:t>
            </w:r>
          </w:p>
        </w:tc>
      </w:tr>
    </w:tbl>
    <w:p>
      <w:pPr>
        <w:pStyle w:val="4"/>
      </w:pPr>
      <w:r>
        <w:rPr>
          <w:rFonts w:hint="eastAsia"/>
        </w:rPr>
        <w:t>5．《物流一体化实训》课程描述</w:t>
      </w:r>
    </w:p>
    <w:tbl>
      <w:tblPr>
        <w:tblStyle w:val="11"/>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《物流一体化实训》</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182WG30B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4</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2"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）掌握物流及其相关设备的操作；</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）掌握物流技能比赛流程；</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）掌握物流信息化操作；</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）掌握物流一体化方案的设计与操作；</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）掌握物流资源（市场）调研的方法及途径。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71"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1</w:t>
            </w:r>
            <w:r>
              <w:rPr>
                <w:rFonts w:hint="eastAsia" w:ascii="仿宋" w:hAnsi="仿宋" w:cs="宋体"/>
                <w:kern w:val="0"/>
              </w:rPr>
              <w:t>）具有较强的物流实践（实操）能力；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2</w:t>
            </w:r>
            <w:r>
              <w:rPr>
                <w:rFonts w:hint="eastAsia" w:ascii="仿宋" w:hAnsi="仿宋" w:cs="宋体"/>
                <w:kern w:val="0"/>
              </w:rPr>
              <w:t>）具有基本物流规划及方案设计能力；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3</w:t>
            </w:r>
            <w:r>
              <w:rPr>
                <w:rFonts w:hint="eastAsia" w:ascii="仿宋" w:hAnsi="仿宋" w:cs="宋体"/>
                <w:kern w:val="0"/>
              </w:rPr>
              <w:t>）具有物流专业思维的能力；</w:t>
            </w:r>
          </w:p>
          <w:p>
            <w:pPr>
              <w:widowControl/>
              <w:spacing w:line="240" w:lineRule="atLeast"/>
              <w:jc w:val="left"/>
              <w:rPr>
                <w:rFonts w:ascii="仿宋" w:hAnsi="仿宋" w:cs="宋体"/>
                <w:kern w:val="0"/>
              </w:rPr>
            </w:pPr>
            <w:r>
              <w:rPr>
                <w:rFonts w:hint="eastAsia" w:ascii="仿宋" w:hAnsi="仿宋" w:cs="宋体"/>
                <w:kern w:val="0"/>
              </w:rPr>
              <w:t>（</w:t>
            </w:r>
            <w:r>
              <w:rPr>
                <w:rFonts w:ascii="仿宋" w:hAnsi="仿宋" w:cs="宋体"/>
                <w:kern w:val="0"/>
              </w:rPr>
              <w:t>4</w:t>
            </w:r>
            <w:r>
              <w:rPr>
                <w:rFonts w:hint="eastAsia" w:ascii="仿宋" w:hAnsi="仿宋" w:cs="宋体"/>
                <w:kern w:val="0"/>
              </w:rPr>
              <w:t>）具有利用专业思维进行思考和解决问题的思想。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38"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1、物流设备的应用及设备选择；</w:t>
            </w:r>
          </w:p>
          <w:p>
            <w:pPr>
              <w:widowControl/>
              <w:spacing w:line="240" w:lineRule="atLeast"/>
              <w:jc w:val="left"/>
              <w:rPr>
                <w:rFonts w:ascii="仿宋" w:hAnsi="仿宋" w:cs="宋体"/>
                <w:kern w:val="0"/>
              </w:rPr>
            </w:pPr>
            <w:r>
              <w:rPr>
                <w:rFonts w:hint="eastAsia" w:ascii="仿宋" w:hAnsi="仿宋" w:cs="宋体"/>
                <w:kern w:val="0"/>
              </w:rPr>
              <w:t>2、物流一体化方案设计及实施；</w:t>
            </w:r>
          </w:p>
          <w:p>
            <w:pPr>
              <w:widowControl/>
              <w:spacing w:line="240" w:lineRule="atLeast"/>
              <w:jc w:val="left"/>
              <w:rPr>
                <w:rFonts w:ascii="仿宋" w:hAnsi="仿宋" w:cs="宋体"/>
                <w:kern w:val="0"/>
              </w:rPr>
            </w:pPr>
            <w:r>
              <w:rPr>
                <w:rFonts w:hint="eastAsia" w:ascii="仿宋" w:hAnsi="仿宋" w:cs="宋体"/>
                <w:kern w:val="0"/>
              </w:rPr>
              <w:t>3、物流调研及调研报告的撰写；</w:t>
            </w:r>
          </w:p>
          <w:p>
            <w:pPr>
              <w:widowControl/>
              <w:spacing w:line="240" w:lineRule="atLeast"/>
              <w:jc w:val="left"/>
              <w:rPr>
                <w:rFonts w:ascii="仿宋" w:hAnsi="仿宋" w:cs="宋体"/>
                <w:kern w:val="0"/>
              </w:rPr>
            </w:pPr>
            <w:r>
              <w:rPr>
                <w:rFonts w:hint="eastAsia" w:ascii="仿宋" w:hAnsi="仿宋" w:cs="宋体"/>
                <w:kern w:val="0"/>
              </w:rPr>
              <w:t>4、物流思维方式拓展及对比分析；</w:t>
            </w:r>
          </w:p>
          <w:p>
            <w:pPr>
              <w:widowControl/>
              <w:spacing w:line="240" w:lineRule="atLeast"/>
              <w:jc w:val="left"/>
              <w:rPr>
                <w:rFonts w:ascii="仿宋" w:hAnsi="仿宋" w:cs="宋体"/>
                <w:kern w:val="0"/>
              </w:rPr>
            </w:pPr>
            <w:r>
              <w:rPr>
                <w:rFonts w:hint="eastAsia" w:ascii="仿宋" w:hAnsi="仿宋" w:cs="宋体"/>
                <w:kern w:val="0"/>
              </w:rPr>
              <w:t>5、物流优化及辅助软件应用。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5"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1"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1、理论与实践相结合。</w:t>
            </w:r>
          </w:p>
        </w:tc>
      </w:tr>
    </w:tbl>
    <w:p/>
    <w:p/>
    <w:p>
      <w:pPr>
        <w:pStyle w:val="4"/>
      </w:pPr>
      <w:r>
        <w:rPr>
          <w:rFonts w:hint="eastAsia"/>
        </w:rPr>
        <w:t>6．《采购管理》课程描述</w:t>
      </w:r>
    </w:p>
    <w:tbl>
      <w:tblPr>
        <w:tblStyle w:val="11"/>
        <w:tblW w:w="91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080"/>
        <w:gridCol w:w="1025"/>
        <w:gridCol w:w="1471"/>
        <w:gridCol w:w="1845"/>
        <w:gridCol w:w="1350"/>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2780" w:type="dxa"/>
            <w:gridSpan w:val="3"/>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课程名称</w:t>
            </w:r>
          </w:p>
        </w:tc>
        <w:tc>
          <w:tcPr>
            <w:tcW w:w="3316"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ind w:firstLine="33"/>
              <w:jc w:val="center"/>
              <w:rPr>
                <w:rFonts w:ascii="仿宋" w:hAnsi="仿宋" w:cs="宋体"/>
                <w:kern w:val="0"/>
              </w:rPr>
            </w:pPr>
            <w:r>
              <w:rPr>
                <w:rFonts w:hint="eastAsia" w:ascii="宋体" w:cs="宋体"/>
                <w:kern w:val="0"/>
              </w:rPr>
              <w:t>《采购管理》</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课程代码</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182WG23B</w:t>
            </w:r>
            <w:r>
              <w:rPr>
                <w:rFonts w:ascii="宋体"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3" w:hRule="atLeast"/>
          <w:jc w:val="center"/>
        </w:trPr>
        <w:tc>
          <w:tcPr>
            <w:tcW w:w="1755"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参考学分</w:t>
            </w:r>
          </w:p>
        </w:tc>
        <w:tc>
          <w:tcPr>
            <w:tcW w:w="102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ascii="宋体" w:cs="宋体"/>
                <w:kern w:val="0"/>
              </w:rPr>
              <w:t> </w:t>
            </w:r>
            <w:r>
              <w:rPr>
                <w:rFonts w:hint="eastAsia" w:ascii="宋体" w:cs="宋体"/>
                <w:kern w:val="0"/>
              </w:rPr>
              <w:t>4</w:t>
            </w:r>
          </w:p>
        </w:tc>
        <w:tc>
          <w:tcPr>
            <w:tcW w:w="1471"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参考课时</w:t>
            </w:r>
          </w:p>
        </w:tc>
        <w:tc>
          <w:tcPr>
            <w:tcW w:w="184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宋体" w:cs="宋体"/>
                <w:kern w:val="0"/>
              </w:rPr>
              <w:t>72</w:t>
            </w:r>
            <w:r>
              <w:rPr>
                <w:rFonts w:ascii="宋体" w:cs="宋体"/>
                <w:kern w:val="0"/>
              </w:rPr>
              <w:t> </w:t>
            </w:r>
          </w:p>
        </w:tc>
        <w:tc>
          <w:tcPr>
            <w:tcW w:w="135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开课学期</w:t>
            </w:r>
          </w:p>
        </w:tc>
        <w:tc>
          <w:tcPr>
            <w:tcW w:w="174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4" w:hRule="atLeast"/>
          <w:jc w:val="center"/>
        </w:trPr>
        <w:tc>
          <w:tcPr>
            <w:tcW w:w="675" w:type="dxa"/>
            <w:vMerge w:val="restar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w:t>
            </w:r>
          </w:p>
          <w:p>
            <w:pPr>
              <w:widowControl/>
              <w:adjustRightInd w:val="0"/>
              <w:snapToGrid w:val="0"/>
              <w:spacing w:line="240" w:lineRule="atLeast"/>
              <w:jc w:val="center"/>
              <w:rPr>
                <w:rFonts w:ascii="仿宋" w:hAnsi="仿宋" w:cs="宋体"/>
                <w:kern w:val="0"/>
              </w:rPr>
            </w:pPr>
            <w:r>
              <w:rPr>
                <w:rFonts w:hint="eastAsia" w:ascii="仿宋" w:hAnsi="仿宋" w:cs="宋体"/>
                <w:kern w:val="0"/>
              </w:rPr>
              <w:t>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目</w:t>
            </w:r>
          </w:p>
          <w:p>
            <w:pPr>
              <w:widowControl/>
              <w:adjustRightInd w:val="0"/>
              <w:snapToGrid w:val="0"/>
              <w:spacing w:line="240" w:lineRule="atLeast"/>
              <w:jc w:val="center"/>
              <w:rPr>
                <w:rFonts w:ascii="仿宋" w:hAnsi="仿宋" w:cs="宋体"/>
                <w:kern w:val="0"/>
              </w:rPr>
            </w:pPr>
            <w:r>
              <w:rPr>
                <w:rFonts w:hint="eastAsia" w:ascii="仿宋" w:hAnsi="仿宋" w:cs="宋体"/>
                <w:kern w:val="0"/>
              </w:rPr>
              <w:t>标</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知识目标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（1）掌握采购理论方法指导采购运作；</w:t>
            </w:r>
          </w:p>
          <w:p>
            <w:pPr>
              <w:rPr>
                <w:rFonts w:ascii="仿宋" w:hAnsi="仿宋" w:cs="宋体"/>
                <w:kern w:val="0"/>
              </w:rPr>
            </w:pPr>
            <w:r>
              <w:rPr>
                <w:rFonts w:hint="eastAsia" w:ascii="仿宋" w:hAnsi="仿宋" w:cs="宋体"/>
                <w:kern w:val="0"/>
              </w:rPr>
              <w:t>（2）掌握分析企业采购优势的方法和途径；</w:t>
            </w:r>
          </w:p>
          <w:p>
            <w:pPr>
              <w:rPr>
                <w:rFonts w:ascii="仿宋" w:hAnsi="仿宋" w:cs="宋体"/>
                <w:kern w:val="0"/>
              </w:rPr>
            </w:pPr>
            <w:r>
              <w:rPr>
                <w:rFonts w:hint="eastAsia" w:ascii="仿宋" w:hAnsi="仿宋" w:cs="宋体"/>
                <w:kern w:val="0"/>
              </w:rPr>
              <w:t>（3）掌握采购与生产的关系，保证生产需求和供应；</w:t>
            </w:r>
          </w:p>
          <w:p>
            <w:pPr>
              <w:rPr>
                <w:rFonts w:ascii="仿宋" w:hAnsi="仿宋" w:cs="宋体"/>
                <w:kern w:val="0"/>
              </w:rPr>
            </w:pPr>
            <w:r>
              <w:rPr>
                <w:rFonts w:hint="eastAsia" w:ascii="仿宋" w:hAnsi="仿宋" w:cs="宋体"/>
                <w:kern w:val="0"/>
              </w:rPr>
              <w:t>（4）掌握采购与市场的关系，为企业的市场竞争提供动力。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82"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能力目标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Arial"/>
                <w:kern w:val="0"/>
              </w:rPr>
            </w:pPr>
            <w:r>
              <w:rPr>
                <w:rFonts w:hint="eastAsia" w:ascii="仿宋" w:hAnsi="仿宋" w:cs="Arial"/>
                <w:kern w:val="0"/>
              </w:rPr>
              <w:t>（1）使学生对采购的计划预算、组织管理、质量控制、操作过程和技巧、风险控制与绩效评估等有系统的认识；</w:t>
            </w:r>
          </w:p>
          <w:p>
            <w:pPr>
              <w:widowControl/>
              <w:spacing w:line="240" w:lineRule="atLeast"/>
              <w:jc w:val="left"/>
            </w:pPr>
            <w:r>
              <w:rPr>
                <w:rFonts w:hint="eastAsia" w:ascii="仿宋" w:hAnsi="仿宋" w:cs="Arial"/>
                <w:kern w:val="0"/>
              </w:rPr>
              <w:t>（2）并能根据课程的内容，结合现实情况和相应的教学案例，能够理论联系实际地学习好这门课程，并掌握一定的操作性知识。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5"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 w:hAnsi="仿宋" w:cs="宋体"/>
                <w:kern w:val="0"/>
              </w:rPr>
            </w:pPr>
          </w:p>
        </w:tc>
        <w:tc>
          <w:tcPr>
            <w:tcW w:w="108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素质目标</w:t>
            </w:r>
          </w:p>
        </w:tc>
        <w:tc>
          <w:tcPr>
            <w:tcW w:w="7431" w:type="dxa"/>
            <w:gridSpan w:val="5"/>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1</w:t>
            </w:r>
            <w:r>
              <w:rPr>
                <w:rFonts w:hint="eastAsia" w:ascii="仿宋" w:hAnsi="仿宋" w:cs="Arial"/>
                <w:kern w:val="0"/>
              </w:rPr>
              <w:t>）具备良好的自我表现、与人沟通的能力；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2</w:t>
            </w:r>
            <w:r>
              <w:rPr>
                <w:rFonts w:hint="eastAsia" w:ascii="仿宋" w:hAnsi="仿宋" w:cs="Arial"/>
                <w:kern w:val="0"/>
              </w:rPr>
              <w:t>）树立团队协作精神；</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3</w:t>
            </w:r>
            <w:r>
              <w:rPr>
                <w:rFonts w:hint="eastAsia" w:ascii="仿宋" w:hAnsi="仿宋" w:cs="Arial"/>
                <w:kern w:val="0"/>
              </w:rPr>
              <w:t>）具备分析问题、解决问题的能力；</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4</w:t>
            </w:r>
            <w:r>
              <w:rPr>
                <w:rFonts w:hint="eastAsia" w:ascii="仿宋" w:hAnsi="仿宋" w:cs="Arial"/>
                <w:kern w:val="0"/>
              </w:rPr>
              <w:t>）树立勇于创新、敬业乐业的工作作风；</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5</w:t>
            </w:r>
            <w:r>
              <w:rPr>
                <w:rFonts w:hint="eastAsia" w:ascii="仿宋" w:hAnsi="仿宋" w:cs="Arial"/>
                <w:kern w:val="0"/>
              </w:rPr>
              <w:t>）树立质量意识；</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6</w:t>
            </w:r>
            <w:r>
              <w:rPr>
                <w:rFonts w:hint="eastAsia" w:ascii="仿宋" w:hAnsi="仿宋" w:cs="Arial"/>
                <w:kern w:val="0"/>
              </w:rPr>
              <w:t>）具有诚实、守信、坚韧不拔的性格；</w:t>
            </w:r>
          </w:p>
          <w:p>
            <w:pPr>
              <w:widowControl/>
              <w:spacing w:line="240" w:lineRule="atLeast"/>
              <w:jc w:val="left"/>
              <w:rPr>
                <w:rFonts w:ascii="仿宋" w:hAnsi="仿宋" w:cs="宋体"/>
                <w:kern w:val="0"/>
              </w:rPr>
            </w:pPr>
            <w:r>
              <w:rPr>
                <w:rFonts w:hint="eastAsia" w:ascii="仿宋" w:hAnsi="仿宋" w:cs="Arial"/>
                <w:kern w:val="0"/>
              </w:rPr>
              <w:t>（</w:t>
            </w:r>
            <w:r>
              <w:rPr>
                <w:rFonts w:ascii="仿宋" w:hAnsi="仿宋" w:cs="Arial"/>
                <w:kern w:val="0"/>
              </w:rPr>
              <w:t>7</w:t>
            </w:r>
            <w:r>
              <w:rPr>
                <w:rFonts w:hint="eastAsia" w:ascii="仿宋" w:hAnsi="仿宋" w:cs="Arial"/>
                <w:kern w:val="0"/>
              </w:rPr>
              <w:t>）具备自主、开放的学习能力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0"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主要</w:t>
            </w:r>
          </w:p>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内容</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Arial"/>
                <w:kern w:val="0"/>
              </w:rPr>
            </w:pPr>
            <w:r>
              <w:rPr>
                <w:rFonts w:hint="eastAsia" w:ascii="仿宋" w:hAnsi="仿宋" w:cs="Arial"/>
                <w:kern w:val="0"/>
              </w:rPr>
              <w:t>1、了解我国物流业和采购业发展现状；</w:t>
            </w:r>
          </w:p>
          <w:p>
            <w:pPr>
              <w:widowControl/>
              <w:spacing w:line="240" w:lineRule="atLeast"/>
              <w:jc w:val="left"/>
              <w:rPr>
                <w:rFonts w:ascii="仿宋" w:hAnsi="仿宋" w:cs="Arial"/>
                <w:kern w:val="0"/>
              </w:rPr>
            </w:pPr>
            <w:r>
              <w:rPr>
                <w:rFonts w:hint="eastAsia" w:ascii="仿宋" w:hAnsi="仿宋" w:cs="Arial"/>
                <w:kern w:val="0"/>
              </w:rPr>
              <w:t>2、国外先进的物流和采购理念、技术和管理思想；</w:t>
            </w:r>
          </w:p>
          <w:p>
            <w:pPr>
              <w:widowControl/>
              <w:spacing w:line="240" w:lineRule="atLeast"/>
              <w:jc w:val="left"/>
              <w:rPr>
                <w:rFonts w:ascii="仿宋" w:hAnsi="仿宋" w:cs="Arial"/>
                <w:kern w:val="0"/>
              </w:rPr>
            </w:pPr>
            <w:r>
              <w:rPr>
                <w:rFonts w:hint="eastAsia" w:ascii="仿宋" w:hAnsi="仿宋" w:cs="Arial"/>
                <w:kern w:val="0"/>
              </w:rPr>
              <w:t>3、掌握采购管理的基础理论；</w:t>
            </w:r>
          </w:p>
          <w:p>
            <w:pPr>
              <w:widowControl/>
              <w:spacing w:line="240" w:lineRule="atLeast"/>
              <w:jc w:val="left"/>
              <w:rPr>
                <w:rFonts w:ascii="仿宋" w:hAnsi="仿宋" w:cs="Arial"/>
                <w:kern w:val="0"/>
              </w:rPr>
            </w:pPr>
            <w:r>
              <w:rPr>
                <w:rFonts w:hint="eastAsia" w:ascii="仿宋" w:hAnsi="仿宋" w:cs="Arial"/>
                <w:kern w:val="0"/>
              </w:rPr>
              <w:t>4、采购组织和管理的技术与操作规程；</w:t>
            </w:r>
          </w:p>
          <w:p>
            <w:pPr>
              <w:widowControl/>
              <w:spacing w:line="240" w:lineRule="atLeast"/>
              <w:jc w:val="left"/>
            </w:pPr>
            <w:r>
              <w:rPr>
                <w:rFonts w:hint="eastAsia" w:ascii="仿宋" w:hAnsi="仿宋" w:cs="Arial"/>
                <w:kern w:val="0"/>
              </w:rPr>
              <w:t>5、采购业务中的谈判和风险控制及绩效评估等内容。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3"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教学</w:t>
            </w:r>
          </w:p>
          <w:p>
            <w:pPr>
              <w:widowControl/>
              <w:adjustRightInd w:val="0"/>
              <w:snapToGrid w:val="0"/>
              <w:spacing w:line="240" w:lineRule="atLeast"/>
              <w:jc w:val="center"/>
              <w:rPr>
                <w:rFonts w:ascii="仿宋" w:hAnsi="仿宋" w:cs="宋体"/>
                <w:kern w:val="0"/>
              </w:rPr>
            </w:pPr>
            <w:r>
              <w:rPr>
                <w:rFonts w:hint="eastAsia" w:ascii="仿宋" w:hAnsi="仿宋" w:cs="宋体"/>
                <w:kern w:val="0"/>
              </w:rPr>
              <w:t>方法</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1、多媒体教学；</w:t>
            </w:r>
          </w:p>
          <w:p>
            <w:pPr>
              <w:widowControl/>
              <w:spacing w:line="240" w:lineRule="atLeast"/>
              <w:jc w:val="left"/>
              <w:rPr>
                <w:rFonts w:ascii="仿宋" w:hAnsi="仿宋" w:cs="宋体"/>
                <w:kern w:val="0"/>
              </w:rPr>
            </w:pPr>
            <w:r>
              <w:rPr>
                <w:rFonts w:hint="eastAsia" w:ascii="仿宋" w:hAnsi="仿宋" w:cs="宋体"/>
                <w:kern w:val="0"/>
              </w:rPr>
              <w:t>2、一体化教学及应用；</w:t>
            </w:r>
          </w:p>
          <w:p>
            <w:pPr>
              <w:widowControl/>
              <w:spacing w:line="240" w:lineRule="atLeast"/>
              <w:jc w:val="left"/>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67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仿宋" w:hAnsi="仿宋" w:cs="宋体"/>
                <w:kern w:val="0"/>
              </w:rPr>
            </w:pPr>
            <w:r>
              <w:rPr>
                <w:rFonts w:hint="eastAsia" w:ascii="仿宋" w:hAnsi="仿宋" w:cs="宋体"/>
                <w:kern w:val="0"/>
              </w:rPr>
              <w:t>课程</w:t>
            </w:r>
          </w:p>
          <w:p>
            <w:pPr>
              <w:widowControl/>
              <w:adjustRightInd w:val="0"/>
              <w:snapToGrid w:val="0"/>
              <w:spacing w:line="240" w:lineRule="atLeast"/>
              <w:jc w:val="center"/>
              <w:rPr>
                <w:rFonts w:ascii="仿宋" w:hAnsi="仿宋" w:cs="宋体"/>
                <w:kern w:val="0"/>
              </w:rPr>
            </w:pPr>
            <w:r>
              <w:rPr>
                <w:rFonts w:hint="eastAsia" w:ascii="仿宋" w:hAnsi="仿宋" w:cs="宋体"/>
                <w:kern w:val="0"/>
              </w:rPr>
              <w:t>考核</w:t>
            </w:r>
          </w:p>
          <w:p>
            <w:pPr>
              <w:widowControl/>
              <w:adjustRightInd w:val="0"/>
              <w:snapToGrid w:val="0"/>
              <w:spacing w:line="240" w:lineRule="atLeast"/>
              <w:jc w:val="center"/>
              <w:rPr>
                <w:rFonts w:ascii="仿宋" w:hAnsi="仿宋" w:cs="宋体"/>
                <w:kern w:val="0"/>
              </w:rPr>
            </w:pPr>
            <w:r>
              <w:rPr>
                <w:rFonts w:hint="eastAsia" w:ascii="仿宋" w:hAnsi="仿宋" w:cs="宋体"/>
                <w:kern w:val="0"/>
              </w:rPr>
              <w:t>建议</w:t>
            </w:r>
          </w:p>
        </w:tc>
        <w:tc>
          <w:tcPr>
            <w:tcW w:w="8511" w:type="dxa"/>
            <w:gridSpan w:val="6"/>
            <w:tcBorders>
              <w:top w:val="single" w:color="auto" w:sz="4" w:space="0"/>
              <w:left w:val="single" w:color="auto" w:sz="4" w:space="0"/>
              <w:bottom w:val="single" w:color="auto" w:sz="4" w:space="0"/>
              <w:right w:val="single" w:color="auto" w:sz="4" w:space="0"/>
            </w:tcBorders>
          </w:tcPr>
          <w:p>
            <w:pPr>
              <w:widowControl/>
              <w:spacing w:line="240" w:lineRule="atLeast"/>
              <w:jc w:val="left"/>
              <w:rPr>
                <w:rFonts w:ascii="仿宋" w:hAnsi="仿宋" w:cs="宋体"/>
                <w:kern w:val="0"/>
              </w:rPr>
            </w:pPr>
            <w:r>
              <w:rPr>
                <w:rFonts w:hint="eastAsia" w:ascii="仿宋" w:hAnsi="仿宋" w:cs="宋体"/>
                <w:kern w:val="0"/>
              </w:rPr>
              <w:t>1、理论与实践相结合。</w:t>
            </w:r>
          </w:p>
        </w:tc>
      </w:tr>
    </w:tbl>
    <w:p/>
    <w:p/>
    <w:p>
      <w:pPr>
        <w:pStyle w:val="3"/>
      </w:pPr>
      <w:r>
        <w:rPr>
          <w:rFonts w:hint="eastAsia"/>
        </w:rPr>
        <w:t>（三）实践教学环节描述</w:t>
      </w:r>
    </w:p>
    <w:p>
      <w:pPr>
        <w:pStyle w:val="4"/>
      </w:pPr>
      <w:r>
        <w:rPr>
          <w:rFonts w:hint="eastAsia"/>
        </w:rPr>
        <w:t>1．物流认知实训描述（1）</w:t>
      </w:r>
    </w:p>
    <w:tbl>
      <w:tblPr>
        <w:tblStyle w:val="11"/>
        <w:tblW w:w="90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物流认知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1</w:t>
            </w:r>
          </w:p>
        </w:tc>
        <w:tc>
          <w:tcPr>
            <w:tcW w:w="150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课时</w:t>
            </w:r>
            <w:r>
              <w:rPr>
                <w:rFonts w:ascii="仿宋" w:hAnsi="仿宋" w:cs="宋体"/>
                <w:kern w:val="0"/>
              </w:rPr>
              <w:t xml:space="preserve">  </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16</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ascii="宋体" w:cs="宋体"/>
                <w:kern w:val="0"/>
              </w:rPr>
              <w:t> </w:t>
            </w:r>
            <w:r>
              <w:rPr>
                <w:rFonts w:hint="eastAsia" w:ascii="宋体" w:cs="宋体"/>
                <w:kern w:val="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8"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让学生了解物流的概念，了解一般物流企业运行的基本情况，初步形成对专业的认识和形好正确的物流概念。</w:t>
            </w: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3"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1、物流实训中心认知；</w:t>
            </w:r>
          </w:p>
          <w:p>
            <w:pPr>
              <w:widowControl/>
              <w:spacing w:line="240" w:lineRule="atLeast"/>
              <w:rPr>
                <w:rFonts w:ascii="宋体" w:cs="宋体"/>
                <w:kern w:val="0"/>
              </w:rPr>
            </w:pPr>
            <w:r>
              <w:rPr>
                <w:rFonts w:hint="eastAsia" w:ascii="仿宋" w:hAnsi="仿宋" w:cs="宋体"/>
                <w:kern w:val="0"/>
              </w:rPr>
              <w:t>2、物流企业参观。</w:t>
            </w: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9"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1、遵守相关制度及规定；</w:t>
            </w:r>
          </w:p>
          <w:p>
            <w:pPr>
              <w:widowControl/>
              <w:spacing w:line="240" w:lineRule="atLeast"/>
              <w:rPr>
                <w:rFonts w:ascii="仿宋" w:hAnsi="仿宋" w:cs="宋体"/>
                <w:kern w:val="0"/>
              </w:rPr>
            </w:pPr>
            <w:r>
              <w:rPr>
                <w:rFonts w:hint="eastAsia" w:ascii="仿宋" w:hAnsi="仿宋" w:cs="宋体"/>
                <w:kern w:val="0"/>
              </w:rPr>
              <w:t>2、严格出勤；</w:t>
            </w:r>
          </w:p>
          <w:p>
            <w:pPr>
              <w:widowControl/>
              <w:spacing w:line="240" w:lineRule="atLeast"/>
              <w:rPr>
                <w:rFonts w:ascii="仿宋" w:hAnsi="仿宋" w:cs="宋体"/>
                <w:kern w:val="0"/>
              </w:rPr>
            </w:pPr>
            <w:r>
              <w:rPr>
                <w:rFonts w:hint="eastAsia" w:ascii="仿宋" w:hAnsi="仿宋" w:cs="宋体"/>
                <w:kern w:val="0"/>
              </w:rPr>
              <w:t>3、提高安全认识和安全意识。</w:t>
            </w:r>
          </w:p>
        </w:tc>
      </w:tr>
    </w:tbl>
    <w:p>
      <w:pPr>
        <w:pStyle w:val="4"/>
      </w:pPr>
      <w:r>
        <w:rPr>
          <w:rFonts w:hint="eastAsia"/>
        </w:rPr>
        <w:t>2．物流综合实训描述（2）</w:t>
      </w:r>
    </w:p>
    <w:tbl>
      <w:tblPr>
        <w:tblStyle w:val="11"/>
        <w:tblW w:w="90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4"/>
        <w:gridCol w:w="1080"/>
        <w:gridCol w:w="1508"/>
        <w:gridCol w:w="1356"/>
        <w:gridCol w:w="1356"/>
        <w:gridCol w:w="1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实训项目名称</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物流综合实训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4</w:t>
            </w:r>
          </w:p>
        </w:tc>
        <w:tc>
          <w:tcPr>
            <w:tcW w:w="1508"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课时</w:t>
            </w:r>
            <w:r>
              <w:rPr>
                <w:rFonts w:ascii="仿宋" w:hAnsi="仿宋" w:cs="宋体"/>
                <w:kern w:val="0"/>
              </w:rPr>
              <w:t xml:space="preserve">  </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72</w:t>
            </w:r>
          </w:p>
        </w:tc>
        <w:tc>
          <w:tcPr>
            <w:tcW w:w="1356"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1689"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ascii="宋体" w:cs="宋体"/>
                <w:kern w:val="0"/>
              </w:rPr>
              <w:t> </w:t>
            </w:r>
            <w:r>
              <w:rPr>
                <w:rFonts w:hint="eastAsia" w:ascii="宋体" w:cs="宋体"/>
                <w:kern w:val="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31"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实训目的</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在物流基本知识的基础上，让学生了解物流设备的使用，运用所学的基本知识解决实际问题，对物流作业可以合理的计划，为进入企业工作夯实基础。</w:t>
            </w: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3"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实训内容</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1、物流实训中心规划讲解及分析；</w:t>
            </w:r>
          </w:p>
          <w:p>
            <w:pPr>
              <w:widowControl/>
              <w:spacing w:line="240" w:lineRule="atLeast"/>
              <w:rPr>
                <w:rFonts w:ascii="仿宋" w:hAnsi="仿宋" w:cs="宋体"/>
                <w:kern w:val="0"/>
              </w:rPr>
            </w:pPr>
            <w:r>
              <w:rPr>
                <w:rFonts w:hint="eastAsia" w:ascii="仿宋" w:hAnsi="仿宋" w:cs="宋体"/>
                <w:kern w:val="0"/>
              </w:rPr>
              <w:t>2、物流实训中心及物流调研；</w:t>
            </w:r>
          </w:p>
          <w:p>
            <w:pPr>
              <w:widowControl/>
              <w:spacing w:line="240" w:lineRule="atLeast"/>
              <w:rPr>
                <w:rFonts w:ascii="仿宋" w:hAnsi="仿宋" w:cs="宋体"/>
                <w:kern w:val="0"/>
              </w:rPr>
            </w:pPr>
            <w:r>
              <w:rPr>
                <w:rFonts w:hint="eastAsia" w:ascii="仿宋" w:hAnsi="仿宋" w:cs="宋体"/>
                <w:kern w:val="0"/>
              </w:rPr>
              <w:t>3、物流企业参观；</w:t>
            </w:r>
          </w:p>
          <w:p>
            <w:pPr>
              <w:widowControl/>
              <w:spacing w:line="240" w:lineRule="atLeast"/>
              <w:rPr>
                <w:rFonts w:ascii="宋体" w:cs="宋体"/>
                <w:kern w:val="0"/>
              </w:rPr>
            </w:pPr>
            <w:r>
              <w:rPr>
                <w:rFonts w:hint="eastAsia" w:ascii="仿宋" w:hAnsi="仿宋" w:cs="宋体"/>
                <w:kern w:val="0"/>
              </w:rPr>
              <w:t>4、物流一体化实训设计及实施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2" w:hRule="atLeast"/>
          <w:jc w:val="center"/>
        </w:trPr>
        <w:tc>
          <w:tcPr>
            <w:tcW w:w="20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实训要求</w:t>
            </w:r>
          </w:p>
        </w:tc>
        <w:tc>
          <w:tcPr>
            <w:tcW w:w="6989"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rPr>
                <w:rFonts w:ascii="仿宋" w:hAnsi="仿宋" w:cs="宋体"/>
                <w:kern w:val="0"/>
              </w:rPr>
            </w:pPr>
            <w:r>
              <w:rPr>
                <w:rFonts w:hint="eastAsia" w:ascii="仿宋" w:hAnsi="仿宋" w:cs="宋体"/>
                <w:kern w:val="0"/>
              </w:rPr>
              <w:t>1、遵守相关制度及规定；</w:t>
            </w:r>
          </w:p>
          <w:p>
            <w:pPr>
              <w:widowControl/>
              <w:spacing w:line="240" w:lineRule="atLeast"/>
              <w:rPr>
                <w:rFonts w:ascii="仿宋" w:hAnsi="仿宋" w:cs="宋体"/>
                <w:kern w:val="0"/>
              </w:rPr>
            </w:pPr>
            <w:r>
              <w:rPr>
                <w:rFonts w:hint="eastAsia" w:ascii="仿宋" w:hAnsi="仿宋" w:cs="宋体"/>
                <w:kern w:val="0"/>
              </w:rPr>
              <w:t>2、严格出勤；</w:t>
            </w:r>
          </w:p>
          <w:p>
            <w:pPr>
              <w:widowControl/>
              <w:spacing w:line="240" w:lineRule="atLeast"/>
              <w:rPr>
                <w:rFonts w:ascii="仿宋" w:hAnsi="仿宋" w:cs="宋体"/>
                <w:kern w:val="0"/>
              </w:rPr>
            </w:pPr>
            <w:r>
              <w:rPr>
                <w:rFonts w:hint="eastAsia" w:ascii="仿宋" w:hAnsi="仿宋" w:cs="宋体"/>
                <w:kern w:val="0"/>
              </w:rPr>
              <w:t>3、提高安全认识和安全意识。</w:t>
            </w:r>
          </w:p>
        </w:tc>
      </w:tr>
    </w:tbl>
    <w:p>
      <w:pPr>
        <w:pStyle w:val="4"/>
      </w:pPr>
      <w:r>
        <w:t>2.</w:t>
      </w:r>
      <w:r>
        <w:rPr>
          <w:rFonts w:hint="eastAsia"/>
        </w:rPr>
        <w:t>顶岗实习描述</w:t>
      </w:r>
      <w:r>
        <w:t> </w:t>
      </w:r>
    </w:p>
    <w:tbl>
      <w:tblPr>
        <w:tblStyle w:val="11"/>
        <w:tblW w:w="90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顶岗实习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学分</w:t>
            </w:r>
          </w:p>
        </w:tc>
        <w:tc>
          <w:tcPr>
            <w:tcW w:w="991"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24</w:t>
            </w:r>
          </w:p>
        </w:tc>
        <w:tc>
          <w:tcPr>
            <w:tcW w:w="138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课时</w:t>
            </w:r>
            <w:r>
              <w:rPr>
                <w:rFonts w:ascii="仿宋" w:hAnsi="仿宋" w:cs="宋体"/>
                <w:kern w:val="0"/>
              </w:rPr>
              <w:t xml:space="preserve">  </w:t>
            </w:r>
          </w:p>
        </w:tc>
        <w:tc>
          <w:tcPr>
            <w:tcW w:w="12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宋体" w:cs="宋体"/>
                <w:kern w:val="0"/>
              </w:rPr>
              <w:t>672</w:t>
            </w:r>
          </w:p>
        </w:tc>
        <w:tc>
          <w:tcPr>
            <w:tcW w:w="1244"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开设学期</w:t>
            </w:r>
          </w:p>
        </w:tc>
        <w:tc>
          <w:tcPr>
            <w:tcW w:w="2283"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ascii="宋体" w:cs="宋体"/>
                <w:kern w:val="0"/>
              </w:rPr>
              <w:t> </w:t>
            </w:r>
            <w:r>
              <w:rPr>
                <w:rFonts w:hint="eastAsia" w:ascii="宋体" w:cs="宋体"/>
                <w:kern w:val="0"/>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hAnsi="仿宋" w:cs="宋体"/>
                <w:kern w:val="0"/>
              </w:rPr>
            </w:pPr>
            <w:r>
              <w:rPr>
                <w:rFonts w:hint="eastAsia" w:ascii="仿宋" w:hAnsi="仿宋" w:cs="宋体"/>
                <w:kern w:val="0"/>
              </w:rPr>
              <w:t>通过基本知识和物流技能的学习，让在校的理论与基本操作能力在企业顶岗过程中得到相应的应用和检验，为正式步入职业生涯夯实基础。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hAnsi="仿宋" w:cs="宋体"/>
                <w:kern w:val="0"/>
              </w:rPr>
            </w:pPr>
            <w:r>
              <w:rPr>
                <w:rFonts w:hint="eastAsia" w:ascii="仿宋" w:hAnsi="仿宋" w:cs="宋体"/>
                <w:kern w:val="0"/>
              </w:rPr>
              <w:t>1、认知企业；</w:t>
            </w:r>
          </w:p>
          <w:p>
            <w:pPr>
              <w:widowControl/>
              <w:spacing w:line="240" w:lineRule="atLeast"/>
              <w:jc w:val="left"/>
              <w:rPr>
                <w:rFonts w:ascii="仿宋" w:hAnsi="仿宋" w:cs="宋体"/>
                <w:kern w:val="0"/>
              </w:rPr>
            </w:pPr>
            <w:r>
              <w:rPr>
                <w:rFonts w:hint="eastAsia" w:ascii="仿宋" w:hAnsi="仿宋" w:cs="宋体"/>
                <w:kern w:val="0"/>
              </w:rPr>
              <w:t>2、应用所学的相关知识对自己的工作岗位进行描述和诊断，并提出自己的解决办法（或对策）；</w:t>
            </w:r>
          </w:p>
          <w:p>
            <w:pPr>
              <w:widowControl/>
              <w:spacing w:line="240" w:lineRule="atLeast"/>
              <w:jc w:val="left"/>
              <w:rPr>
                <w:rFonts w:ascii="仿宋" w:hAnsi="仿宋" w:cs="宋体"/>
                <w:kern w:val="0"/>
              </w:rPr>
            </w:pPr>
            <w:r>
              <w:rPr>
                <w:rFonts w:hint="eastAsia" w:ascii="仿宋" w:hAnsi="仿宋" w:cs="宋体"/>
                <w:kern w:val="0"/>
              </w:rPr>
              <w:t>3、记录实习过程并进行总结。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6" w:hRule="atLeast"/>
        </w:trPr>
        <w:tc>
          <w:tcPr>
            <w:tcW w:w="1927" w:type="dxa"/>
            <w:tcBorders>
              <w:top w:val="single" w:color="auto" w:sz="4" w:space="0"/>
              <w:left w:val="single" w:color="auto" w:sz="4" w:space="0"/>
              <w:bottom w:val="single" w:color="auto" w:sz="4" w:space="0"/>
              <w:right w:val="single" w:color="auto" w:sz="4" w:space="0"/>
            </w:tcBorders>
            <w:vAlign w:val="center"/>
          </w:tcPr>
          <w:p>
            <w:pPr>
              <w:widowControl/>
              <w:spacing w:line="240" w:lineRule="atLeast"/>
              <w:jc w:val="center"/>
              <w:rPr>
                <w:rFonts w:ascii="仿宋" w:hAnsi="仿宋" w:cs="宋体"/>
                <w:kern w:val="0"/>
              </w:rPr>
            </w:pPr>
            <w:r>
              <w:rPr>
                <w:rFonts w:hint="eastAsia" w:ascii="仿宋" w:hAnsi="仿宋" w:cs="宋体"/>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atLeast"/>
              <w:jc w:val="left"/>
              <w:rPr>
                <w:rFonts w:ascii="仿宋" w:hAnsi="仿宋" w:cs="宋体"/>
                <w:kern w:val="0"/>
              </w:rPr>
            </w:pPr>
            <w:r>
              <w:rPr>
                <w:rFonts w:hint="eastAsia" w:ascii="仿宋" w:hAnsi="仿宋" w:cs="宋体"/>
                <w:kern w:val="0"/>
              </w:rPr>
              <w:t>1、完成顶岗日志的写作；</w:t>
            </w:r>
          </w:p>
          <w:p>
            <w:pPr>
              <w:widowControl/>
              <w:spacing w:line="240" w:lineRule="atLeast"/>
              <w:jc w:val="left"/>
              <w:rPr>
                <w:rFonts w:ascii="仿宋" w:hAnsi="仿宋" w:cs="宋体"/>
                <w:kern w:val="0"/>
              </w:rPr>
            </w:pPr>
            <w:r>
              <w:rPr>
                <w:rFonts w:hint="eastAsia" w:ascii="仿宋" w:hAnsi="仿宋" w:cs="宋体"/>
                <w:kern w:val="0"/>
              </w:rPr>
              <w:t>2、完成学校对顶岗的相关调研；</w:t>
            </w:r>
          </w:p>
          <w:p>
            <w:pPr>
              <w:widowControl/>
              <w:spacing w:line="240" w:lineRule="atLeast"/>
              <w:jc w:val="left"/>
              <w:rPr>
                <w:rFonts w:ascii="仿宋" w:hAnsi="仿宋" w:cs="宋体"/>
                <w:kern w:val="0"/>
              </w:rPr>
            </w:pPr>
            <w:r>
              <w:rPr>
                <w:rFonts w:hint="eastAsia" w:ascii="仿宋" w:hAnsi="仿宋" w:cs="宋体"/>
                <w:kern w:val="0"/>
              </w:rPr>
              <w:t>3、完成顶岗（实习）报告。</w:t>
            </w:r>
          </w:p>
        </w:tc>
      </w:tr>
    </w:tbl>
    <w:p>
      <w:pPr>
        <w:pStyle w:val="4"/>
      </w:pPr>
      <w:r>
        <w:rPr>
          <w:rFonts w:hint="eastAsia"/>
        </w:rPr>
        <w:t>3. 毕业设计描述</w:t>
      </w:r>
    </w:p>
    <w:tbl>
      <w:tblPr>
        <w:tblStyle w:val="11"/>
        <w:tblW w:w="9073"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991"/>
        <w:gridCol w:w="1384"/>
        <w:gridCol w:w="1244"/>
        <w:gridCol w:w="1244"/>
        <w:gridCol w:w="2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项目名称</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毕业设计（实习报告）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学分</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6       </w:t>
            </w:r>
          </w:p>
        </w:tc>
        <w:tc>
          <w:tcPr>
            <w:tcW w:w="13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 xml:space="preserve">课时  </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108</w:t>
            </w:r>
          </w:p>
        </w:tc>
        <w:tc>
          <w:tcPr>
            <w:tcW w:w="12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开设学期</w:t>
            </w:r>
          </w:p>
        </w:tc>
        <w:tc>
          <w:tcPr>
            <w:tcW w:w="22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毕业设计目的</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xml:space="preserve">   通过实习报告的撰写与总结，理清专业学习与实践的意义，熟悉企业的管理规范与物流业务相关的操作流程。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7"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毕业设计内容</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实习报告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6" w:hRule="atLeast"/>
        </w:trPr>
        <w:tc>
          <w:tcPr>
            <w:tcW w:w="19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center"/>
              <w:rPr>
                <w:rFonts w:ascii="仿宋" w:hAnsi="仿宋" w:cs="仿宋"/>
                <w:kern w:val="0"/>
              </w:rPr>
            </w:pPr>
            <w:r>
              <w:rPr>
                <w:rFonts w:hint="eastAsia" w:ascii="仿宋" w:hAnsi="仿宋" w:cs="仿宋"/>
                <w:kern w:val="0"/>
              </w:rPr>
              <w:t>毕业设计要求</w:t>
            </w:r>
          </w:p>
        </w:tc>
        <w:tc>
          <w:tcPr>
            <w:tcW w:w="714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tLeast"/>
              <w:jc w:val="left"/>
              <w:rPr>
                <w:rFonts w:ascii="仿宋" w:hAnsi="仿宋" w:cs="仿宋"/>
                <w:kern w:val="0"/>
              </w:rPr>
            </w:pPr>
            <w:r>
              <w:rPr>
                <w:rFonts w:hint="eastAsia" w:ascii="仿宋" w:hAnsi="仿宋" w:cs="仿宋"/>
                <w:kern w:val="0"/>
              </w:rPr>
              <w:t> 按学院要求完成相应的实习报告，并进行统一答辩，答辩合格予以毕业。</w:t>
            </w:r>
          </w:p>
        </w:tc>
      </w:tr>
    </w:tbl>
    <w:p>
      <w:pPr>
        <w:pStyle w:val="2"/>
      </w:pPr>
      <w:r>
        <w:rPr>
          <w:rFonts w:hint="eastAsia"/>
        </w:rPr>
        <w:t>七、组织与实施</w:t>
      </w:r>
    </w:p>
    <w:p>
      <w:pPr>
        <w:ind w:firstLine="480" w:firstLineChars="200"/>
      </w:pPr>
      <w:bookmarkStart w:id="0" w:name="_Toc479024287"/>
      <w:r>
        <w:rPr>
          <w:rFonts w:hint="eastAsia"/>
        </w:rPr>
        <w:t>（一）专业教师要求</w:t>
      </w:r>
      <w:bookmarkEnd w:id="0"/>
    </w:p>
    <w:p>
      <w:pPr>
        <w:ind w:firstLine="480" w:firstLineChars="200"/>
      </w:pPr>
      <w:r>
        <w:rPr>
          <w:rFonts w:hint="eastAsia"/>
        </w:rPr>
        <w:t xml:space="preserve"> 1.具有本专业或相关专业大学本科及以上学历；</w:t>
      </w:r>
    </w:p>
    <w:p>
      <w:pPr>
        <w:ind w:firstLine="480" w:firstLineChars="200"/>
      </w:pPr>
      <w:r>
        <w:rPr>
          <w:rFonts w:hint="eastAsia"/>
        </w:rPr>
        <w:t xml:space="preserve"> 2.具有高校教师资格证书，中级及以上职业资格证书或相应技术职称；</w:t>
      </w:r>
    </w:p>
    <w:p>
      <w:pPr>
        <w:ind w:firstLine="480" w:firstLineChars="200"/>
      </w:pPr>
      <w:r>
        <w:rPr>
          <w:rFonts w:hint="eastAsia"/>
        </w:rPr>
        <w:t xml:space="preserve"> 3.具有良好的思想道德品德修养，遵守职业道德，为人师表；热爱关心学生；</w:t>
      </w:r>
    </w:p>
    <w:p>
      <w:pPr>
        <w:ind w:firstLine="480" w:firstLineChars="200"/>
      </w:pPr>
      <w:r>
        <w:rPr>
          <w:rFonts w:hint="eastAsia"/>
        </w:rPr>
        <w:t xml:space="preserve"> 4.具备本专业教学需要的扎实的专业知识和专业实践技能，并能在教学过程中灵活运用；</w:t>
      </w:r>
    </w:p>
    <w:p>
      <w:pPr>
        <w:ind w:firstLine="480" w:firstLineChars="200"/>
      </w:pPr>
      <w:r>
        <w:rPr>
          <w:rFonts w:hint="eastAsia"/>
        </w:rPr>
        <w:t xml:space="preserve"> 5.具备基于工学结合课程开发和教学组织设计能力、教学研究能力；</w:t>
      </w:r>
    </w:p>
    <w:p>
      <w:pPr>
        <w:ind w:firstLine="480" w:firstLineChars="200"/>
      </w:pPr>
      <w:r>
        <w:rPr>
          <w:rFonts w:hint="eastAsia"/>
        </w:rPr>
        <w:t xml:space="preserve"> 6.熟悉所任教专业与对应的产业、行业、企业、职业（岗位）、就业的相互依联程度，熟悉本行业的技术生产情况及发展趋势，能及时将企业各项新工艺、新材料、新方法和企业管理新理念补充进课程。长期与2个以上大中型企业保持密切联系。近3年中应有不少于6个月的企业一线实践经历。</w:t>
      </w:r>
    </w:p>
    <w:p>
      <w:pPr>
        <w:ind w:firstLine="480" w:firstLineChars="200"/>
      </w:pPr>
      <w:bookmarkStart w:id="1" w:name="_Toc479024288"/>
      <w:r>
        <w:rPr>
          <w:rFonts w:hint="eastAsia"/>
        </w:rPr>
        <w:t>（二）专业教学团队要求</w:t>
      </w:r>
      <w:bookmarkEnd w:id="1"/>
    </w:p>
    <w:p>
      <w:pPr>
        <w:ind w:firstLine="480" w:firstLineChars="200"/>
      </w:pPr>
      <w:r>
        <w:rPr>
          <w:rFonts w:hint="eastAsia"/>
        </w:rPr>
        <w:t>1.有双专业带头人，其中1人应为来自企业的工程技术人员或专家；</w:t>
      </w:r>
    </w:p>
    <w:p>
      <w:pPr>
        <w:ind w:firstLine="480" w:firstLineChars="200"/>
      </w:pPr>
      <w:r>
        <w:rPr>
          <w:rFonts w:hint="eastAsia"/>
        </w:rPr>
        <w:t>2.每门课程都有讲师及以上职称的教师担任课程负责人；</w:t>
      </w:r>
    </w:p>
    <w:p>
      <w:pPr>
        <w:ind w:firstLine="480" w:firstLineChars="200"/>
      </w:pPr>
      <w:r>
        <w:rPr>
          <w:rFonts w:hint="eastAsia"/>
        </w:rPr>
        <w:t>3.专业教师的数量和结构能满足专业办学规模，其中，实践教学中来自企业一线的兼职教师应占专业教师总数的50%。</w:t>
      </w: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ind w:firstLine="480" w:firstLineChars="200"/>
      </w:pPr>
    </w:p>
    <w:p>
      <w:pPr>
        <w:pStyle w:val="2"/>
        <w:numPr>
          <w:ilvl w:val="0"/>
          <w:numId w:val="3"/>
        </w:numPr>
      </w:pPr>
      <w:r>
        <w:rPr>
          <w:rFonts w:hint="eastAsia"/>
        </w:rPr>
        <w:t>教学计划进程表</w:t>
      </w:r>
    </w:p>
    <w:p>
      <w:pPr>
        <w:pStyle w:val="2"/>
        <w:spacing w:before="0" w:after="156" w:afterLines="50" w:line="240" w:lineRule="auto"/>
        <w:jc w:val="center"/>
        <w:rPr>
          <w:rFonts w:ascii="仿宋" w:hAnsi="仿宋" w:eastAsia="仿宋"/>
          <w:sz w:val="24"/>
        </w:rPr>
      </w:pPr>
      <w:r>
        <w:rPr>
          <w:rFonts w:hint="eastAsia" w:ascii="仿宋" w:hAnsi="仿宋" w:eastAsia="仿宋"/>
          <w:sz w:val="24"/>
        </w:rPr>
        <w:t>2018级物流管理专业课程教学计划进程表</w:t>
      </w:r>
      <w:bookmarkStart w:id="12" w:name="_GoBack"/>
      <w:bookmarkEnd w:id="12"/>
    </w:p>
    <w:p>
      <w:pPr>
        <w:keepNext w:val="0"/>
        <w:keepLines w:val="0"/>
        <w:pageBreakBefore w:val="0"/>
        <w:widowControl w:val="0"/>
        <w:kinsoku/>
        <w:wordWrap/>
        <w:overflowPunct/>
        <w:topLinePunct w:val="0"/>
        <w:autoSpaceDE/>
        <w:autoSpaceDN/>
        <w:bidi w:val="0"/>
        <w:adjustRightInd/>
        <w:snapToGrid w:val="0"/>
        <w:jc w:val="center"/>
        <w:textAlignment w:val="auto"/>
        <w:outlineLvl w:val="9"/>
      </w:pPr>
      <w:r>
        <w:drawing>
          <wp:inline distT="0" distB="0" distL="114300" distR="114300">
            <wp:extent cx="6004560" cy="7527925"/>
            <wp:effectExtent l="0" t="0" r="2540" b="3175"/>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14"/>
                    <a:stretch>
                      <a:fillRect/>
                    </a:stretch>
                  </pic:blipFill>
                  <pic:spPr>
                    <a:xfrm>
                      <a:off x="0" y="0"/>
                      <a:ext cx="6004560" cy="7527925"/>
                    </a:xfrm>
                    <a:prstGeom prst="rect">
                      <a:avLst/>
                    </a:prstGeom>
                    <a:noFill/>
                    <a:ln w="9525">
                      <a:noFill/>
                    </a:ln>
                  </pic:spPr>
                </pic:pic>
              </a:graphicData>
            </a:graphic>
          </wp:inline>
        </w:drawing>
      </w:r>
    </w:p>
    <w:p/>
    <w:p/>
    <w:p>
      <w:pPr>
        <w:jc w:val="center"/>
        <w:rPr>
          <w:rFonts w:hint="eastAsia"/>
        </w:rPr>
      </w:pPr>
      <w:r>
        <w:drawing>
          <wp:inline distT="0" distB="0" distL="0" distR="0">
            <wp:extent cx="5805170" cy="5805170"/>
            <wp:effectExtent l="0" t="0" r="0" b="0"/>
            <wp:docPr id="9" name="图片 9" descr="D:\Bak\Desktop\专业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Bak\Desktop\专业课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810724" cy="5810724"/>
                    </a:xfrm>
                    <a:prstGeom prst="rect">
                      <a:avLst/>
                    </a:prstGeom>
                    <a:noFill/>
                    <a:ln>
                      <a:noFill/>
                    </a:ln>
                  </pic:spPr>
                </pic:pic>
              </a:graphicData>
            </a:graphic>
          </wp:inline>
        </w:drawing>
      </w:r>
    </w:p>
    <w:p>
      <w:pPr>
        <w:pStyle w:val="2"/>
        <w:numPr>
          <w:ilvl w:val="0"/>
          <w:numId w:val="3"/>
        </w:numPr>
      </w:pPr>
      <w:r>
        <w:rPr>
          <w:rFonts w:hint="eastAsia"/>
        </w:rPr>
        <w:t>实施保障</w:t>
      </w:r>
    </w:p>
    <w:p>
      <w:pPr>
        <w:ind w:firstLine="480" w:firstLineChars="200"/>
      </w:pPr>
      <w:bookmarkStart w:id="2" w:name="_Toc479024291"/>
      <w:r>
        <w:rPr>
          <w:rFonts w:hint="eastAsia"/>
        </w:rPr>
        <w:t>（一）具有稳定的“政、行、企、校”合作平台</w:t>
      </w:r>
      <w:bookmarkEnd w:id="2"/>
    </w:p>
    <w:p>
      <w:pPr>
        <w:ind w:firstLine="480" w:firstLineChars="200"/>
      </w:pPr>
      <w:r>
        <w:rPr>
          <w:rFonts w:hint="eastAsia"/>
        </w:rPr>
        <w:t>物流管理专业经过近几年的建设与发展，抓住“物流特色”的发展机遇，不断进行专业群以及学科建设，在稳定专业地位的基础上，与政府部门、物流行业协会、国内及省内具有影响力的大中型企业进行合作。</w:t>
      </w:r>
    </w:p>
    <w:p>
      <w:pPr>
        <w:ind w:firstLine="480" w:firstLineChars="200"/>
      </w:pPr>
      <w:bookmarkStart w:id="3" w:name="_Toc479024292"/>
      <w:r>
        <w:rPr>
          <w:rFonts w:hint="eastAsia"/>
        </w:rPr>
        <w:t>（二）专业建设与发展坚持“校企融合、工学交替”的人才培养模式</w:t>
      </w:r>
      <w:bookmarkEnd w:id="3"/>
    </w:p>
    <w:p>
      <w:pPr>
        <w:ind w:firstLine="480" w:firstLineChars="200"/>
      </w:pPr>
      <w:r>
        <w:rPr>
          <w:rFonts w:hint="eastAsia"/>
        </w:rPr>
        <w:t>校企合作是培养高技能人才的必由之路，是联系社会实际需求与专业规划、探索理论与实践、合作共赢的桥梁，是检验专业定位与人才培养是否合格的途径，也是实现学院、企业、学生多方共赢的捷径。物流管理专业人才培养注重理实一体、工学交替与校企高度融合，与社会实际需求保持一致，不断探索物流专业现代学徒制试点及改革。</w:t>
      </w:r>
    </w:p>
    <w:p>
      <w:pPr>
        <w:ind w:firstLine="480" w:firstLineChars="200"/>
      </w:pPr>
      <w:bookmarkStart w:id="4" w:name="_Toc479024293"/>
      <w:r>
        <w:rPr>
          <w:rFonts w:hint="eastAsia"/>
        </w:rPr>
        <w:t>（三）推行“任务驱动、项目导向”学教做一体的教学模式</w:t>
      </w:r>
      <w:bookmarkEnd w:id="4"/>
    </w:p>
    <w:p>
      <w:pPr>
        <w:ind w:firstLine="480" w:firstLineChars="200"/>
      </w:pPr>
      <w:r>
        <w:rPr>
          <w:rFonts w:hint="eastAsia"/>
        </w:rPr>
        <w:t>通过深入的企业与市场广泛的调研，与物流企业共同研究、合作开发，在物流管理专业的专业指导委员会指导下，突破传统的教学体系，推行任务驱动、项目导向等教学做一体的教学模式，这种教学模式不仅突出了对学生职业能力的训练，而且有利于帮助学生在执行完整的操作流程、完成各项工作任务的过程中系统掌握必要的知识，培养良好的职业素养。并且以任务为中心的课程内容组织方式还有利于实施以学生为主体、教学做一体化的教学方法，有利于实现课堂教学与实训教学的有机统一。每一个载体都是一个完整的工作过程，学生在完成工作任务的过程中自主学习，教师在其中起引导、咨询和示范作用。</w:t>
      </w:r>
    </w:p>
    <w:p>
      <w:pPr>
        <w:jc w:val="center"/>
        <w:rPr>
          <w:rFonts w:ascii="仿宋_GB2312" w:eastAsia="仿宋_GB2312"/>
        </w:rPr>
      </w:pPr>
      <w:r>
        <w:drawing>
          <wp:inline distT="0" distB="0" distL="0" distR="0">
            <wp:extent cx="4610100" cy="2657475"/>
            <wp:effectExtent l="19050" t="0" r="0" b="0"/>
            <wp:docPr id="15" name="图片 2" descr="wps3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descr="wps3534"/>
                    <pic:cNvPicPr>
                      <a:picLocks noChangeAspect="1" noChangeArrowheads="1"/>
                    </pic:cNvPicPr>
                  </pic:nvPicPr>
                  <pic:blipFill>
                    <a:blip r:embed="rId16" cstate="print"/>
                    <a:srcRect/>
                    <a:stretch>
                      <a:fillRect/>
                    </a:stretch>
                  </pic:blipFill>
                  <pic:spPr>
                    <a:xfrm>
                      <a:off x="0" y="0"/>
                      <a:ext cx="4610100" cy="2657475"/>
                    </a:xfrm>
                    <a:prstGeom prst="rect">
                      <a:avLst/>
                    </a:prstGeom>
                    <a:noFill/>
                    <a:ln w="9525">
                      <a:noFill/>
                      <a:miter lim="800000"/>
                      <a:headEnd/>
                      <a:tailEnd/>
                    </a:ln>
                  </pic:spPr>
                </pic:pic>
              </a:graphicData>
            </a:graphic>
          </wp:inline>
        </w:drawing>
      </w:r>
      <w:r>
        <w:rPr>
          <w:rFonts w:hint="eastAsia" w:ascii="仿宋_GB2312" w:eastAsia="仿宋_GB2312"/>
        </w:rPr>
        <w:t xml:space="preserve"> </w:t>
      </w:r>
    </w:p>
    <w:p>
      <w:pPr>
        <w:adjustRightInd w:val="0"/>
        <w:snapToGrid w:val="0"/>
        <w:jc w:val="center"/>
        <w:rPr>
          <w:rFonts w:ascii="仿宋_GB2312" w:eastAsia="仿宋_GB2312"/>
          <w:b/>
          <w:bCs/>
        </w:rPr>
      </w:pPr>
      <w:r>
        <w:rPr>
          <w:rFonts w:hint="eastAsia" w:ascii="仿宋_GB2312" w:eastAsia="仿宋_GB2312"/>
          <w:b/>
          <w:bCs/>
        </w:rPr>
        <w:t>图7  任务驱动、项目导向学做一体的教学模式</w:t>
      </w:r>
    </w:p>
    <w:p>
      <w:pPr>
        <w:ind w:firstLine="480" w:firstLineChars="200"/>
      </w:pPr>
      <w:bookmarkStart w:id="5" w:name="_Toc306218500"/>
      <w:bookmarkEnd w:id="5"/>
      <w:bookmarkStart w:id="6" w:name="_Toc479024294"/>
      <w:r>
        <w:rPr>
          <w:rFonts w:hint="eastAsia"/>
        </w:rPr>
        <w:t>（四）深化人才培养模式改革，实施“三进三出”的校企合作模式</w:t>
      </w:r>
      <w:bookmarkEnd w:id="6"/>
    </w:p>
    <w:p>
      <w:pPr>
        <w:ind w:firstLine="480" w:firstLineChars="200"/>
      </w:pPr>
      <w:r>
        <w:rPr>
          <w:rFonts w:hint="eastAsia"/>
        </w:rPr>
        <w:t>建立“企业教学各环节基本要求”和“顶岗实习管理制度”等校企共同开展人才培养的基础性文件，从制度上确保企业全程、深度融入人才培养过程。聘请行业主管部门管理人员、龙头物流企业高级管理人员、企业能工巧匠等组建专业建设委员会，在专业建设、人才定位、实践教学、学生就业等方面发挥重要作用，对人才培养方案进行优化。在专业学习与理实探索上，物流管理专业建立以每学期不少于4次的校企参观及学习，以保证课程教学需求及物流认知和实践认识的需求。以企业人才需求为导向，推进与“三进三出”人才培养模式相适应的教学组织模式。如下图：</w:t>
      </w:r>
    </w:p>
    <w:p>
      <w:pPr>
        <w:autoSpaceDE w:val="0"/>
        <w:autoSpaceDN w:val="0"/>
        <w:adjustRightInd w:val="0"/>
        <w:jc w:val="center"/>
        <w:rPr>
          <w:rFonts w:ascii="仿宋_GB2312" w:eastAsia="仿宋_GB2312"/>
        </w:rPr>
      </w:pPr>
      <w:r>
        <w:drawing>
          <wp:inline distT="0" distB="0" distL="0" distR="0">
            <wp:extent cx="4019550" cy="3162300"/>
            <wp:effectExtent l="19050" t="0" r="0" b="0"/>
            <wp:docPr id="16" name="图片 3" descr="wps3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wps3544"/>
                    <pic:cNvPicPr>
                      <a:picLocks noChangeAspect="1" noChangeArrowheads="1"/>
                    </pic:cNvPicPr>
                  </pic:nvPicPr>
                  <pic:blipFill>
                    <a:blip r:embed="rId13" cstate="print"/>
                    <a:srcRect/>
                    <a:stretch>
                      <a:fillRect/>
                    </a:stretch>
                  </pic:blipFill>
                  <pic:spPr>
                    <a:xfrm>
                      <a:off x="0" y="0"/>
                      <a:ext cx="4019550" cy="3162300"/>
                    </a:xfrm>
                    <a:prstGeom prst="rect">
                      <a:avLst/>
                    </a:prstGeom>
                    <a:noFill/>
                    <a:ln w="9525">
                      <a:noFill/>
                      <a:miter lim="800000"/>
                      <a:headEnd/>
                      <a:tailEnd/>
                    </a:ln>
                  </pic:spPr>
                </pic:pic>
              </a:graphicData>
            </a:graphic>
          </wp:inline>
        </w:drawing>
      </w:r>
    </w:p>
    <w:p>
      <w:pPr>
        <w:adjustRightInd w:val="0"/>
        <w:snapToGrid w:val="0"/>
        <w:jc w:val="center"/>
        <w:rPr>
          <w:rFonts w:ascii="仿宋_GB2312" w:eastAsia="仿宋_GB2312"/>
          <w:b/>
          <w:bCs/>
        </w:rPr>
      </w:pPr>
      <w:r>
        <w:rPr>
          <w:rFonts w:hint="eastAsia" w:ascii="仿宋_GB2312" w:eastAsia="仿宋_GB2312"/>
          <w:b/>
          <w:bCs/>
        </w:rPr>
        <w:t xml:space="preserve"> 图8  校企合作“三进三出”人才培养模式</w:t>
      </w:r>
    </w:p>
    <w:p>
      <w:pPr>
        <w:ind w:firstLine="480" w:firstLineChars="200"/>
      </w:pPr>
      <w:r>
        <w:rPr>
          <w:rFonts w:hint="eastAsia" w:ascii="仿宋" w:hAnsi="仿宋"/>
          <w:kern w:val="0"/>
        </w:rPr>
        <w:t xml:space="preserve"> </w:t>
      </w:r>
      <w:bookmarkStart w:id="7" w:name="_Toc479024295"/>
      <w:r>
        <w:rPr>
          <w:rFonts w:hint="eastAsia"/>
        </w:rPr>
        <w:t>（五）教学团队培养</w:t>
      </w:r>
      <w:bookmarkEnd w:id="7"/>
    </w:p>
    <w:p>
      <w:pPr>
        <w:ind w:firstLine="480" w:firstLineChars="200"/>
      </w:pPr>
      <w:r>
        <w:rPr>
          <w:rFonts w:hint="eastAsia"/>
        </w:rPr>
        <w:t>加强专业带头人及教学团队培养，每年派骨干教师外出学习原则不少于2次，积极参加全国范围内各种教学研讨会、物流行业协会会议、企业论坛等，保持专业知识不掉队，专业教学与社会发展保持同步。其次，从行业和企业聘请具备技师职称或技术能手等称号的、现场经验丰富、专业知识深厚、组织协调能力较强、在全国或省内行业企业中有一定影响力的专家 1-2 名，作为专业的带头人。通过企业锻炼和国内外培训、进修等方式从专任教师中培养多名骨干教师，并使专业教师中的双师型教师比例达90%，均能独立指导学生的实习、实训，掌握本专业2门以上核心课程的核心技能，同时主持或参与精品课程、网络课程或省级质量工程的建设，成为教学团队的中坚力量。</w:t>
      </w:r>
    </w:p>
    <w:p>
      <w:pPr>
        <w:ind w:firstLine="480" w:firstLineChars="200"/>
      </w:pPr>
      <w:bookmarkStart w:id="8" w:name="_Toc479024296"/>
      <w:r>
        <w:rPr>
          <w:rFonts w:hint="eastAsia"/>
        </w:rPr>
        <w:t>（六）建设教学管理与质量保障体系</w:t>
      </w:r>
      <w:bookmarkEnd w:id="8"/>
    </w:p>
    <w:p>
      <w:pPr>
        <w:ind w:firstLine="480" w:firstLineChars="200"/>
      </w:pPr>
      <w:r>
        <w:rPr>
          <w:rFonts w:hint="eastAsia"/>
        </w:rPr>
        <w:t>人才培养质量评价是指按照一定的教学目标，运用科学可行的评价方法，对教学过程和教学成效给予价值上的判断，为改进教学、提高教学质量提供可靠的信息和科学依据的活动过程。</w:t>
      </w:r>
    </w:p>
    <w:p>
      <w:pPr>
        <w:ind w:firstLine="480" w:firstLineChars="200"/>
      </w:pPr>
      <w:r>
        <w:rPr>
          <w:rFonts w:hint="eastAsia"/>
        </w:rPr>
        <w:t>质量监控是人才培养水平的生命线，在遵循教学管理和质量监控的一般规律的前提下，顺应工学结合教学改革的要求，构建全方位、并突显培养学生动手能力倾向的教学质量监控与质量保障体系。</w:t>
      </w:r>
    </w:p>
    <w:p>
      <w:pPr>
        <w:ind w:firstLine="480" w:firstLineChars="200"/>
      </w:pPr>
      <w:r>
        <w:rPr>
          <w:rFonts w:hint="eastAsia"/>
        </w:rPr>
        <w:t>（1）质量监控体系和教学质量监控制度</w:t>
      </w:r>
    </w:p>
    <w:p>
      <w:pPr>
        <w:ind w:firstLine="480" w:firstLineChars="200"/>
      </w:pPr>
      <w:r>
        <w:rPr>
          <w:rFonts w:hint="eastAsia"/>
        </w:rPr>
        <w:t>建立集中监控与评价和日常监控与评价相结合的管理机制。</w:t>
      </w:r>
    </w:p>
    <w:p>
      <w:pPr>
        <w:ind w:firstLine="480" w:firstLineChars="200"/>
      </w:pPr>
      <w:r>
        <w:rPr>
          <w:rFonts w:hint="eastAsia"/>
        </w:rPr>
        <w:t>集中监控与评价主要包括：第一，开学前和开学初期各项准备工作情况检查。第二，期中教学检查。每学期期中教学系统进行集中教学检查，以监控和评价教学过程的组织安排情况、教学计划执行情况、各教学环节的实施情况等。第三，期末及年终考核。学校教务处对各项教学工作及教学质量进行全面监控和考核，检查相关工作完成情况。</w:t>
      </w:r>
    </w:p>
    <w:p>
      <w:pPr>
        <w:ind w:firstLine="480" w:firstLineChars="200"/>
      </w:pPr>
      <w:r>
        <w:rPr>
          <w:rFonts w:hint="eastAsia"/>
        </w:rPr>
        <w:t>日常监控与评价主要包括：学院教务处和二级学院督导办对教学过程、教学组织、课堂教学质量等日常工作和质量进行的不定期监控和评价。</w:t>
      </w:r>
    </w:p>
    <w:p>
      <w:pPr>
        <w:ind w:firstLine="480" w:firstLineChars="200"/>
      </w:pPr>
      <w:r>
        <w:rPr>
          <w:rFonts w:hint="eastAsia"/>
        </w:rPr>
        <w:t>（2）建立第三方人才培养质量评价体系</w:t>
      </w:r>
    </w:p>
    <w:p>
      <w:pPr>
        <w:ind w:firstLine="480" w:firstLineChars="200"/>
      </w:pPr>
      <w:r>
        <w:rPr>
          <w:rFonts w:hint="eastAsia"/>
        </w:rPr>
        <w:t>建立就业(用人)单位、行业协会、学生及其家长、研究机构等利益相关方共同参与的第三方人才培养质量评价制度，明确评价目的，确定评价内容。</w:t>
      </w:r>
    </w:p>
    <w:p>
      <w:pPr>
        <w:ind w:firstLine="480" w:firstLineChars="200"/>
      </w:pPr>
      <w:r>
        <w:rPr>
          <w:rFonts w:hint="eastAsia"/>
        </w:rPr>
        <w:t>（3）行业企业支持保障</w:t>
      </w:r>
    </w:p>
    <w:p>
      <w:pPr>
        <w:ind w:firstLine="480" w:firstLineChars="200"/>
      </w:pPr>
      <w:r>
        <w:rPr>
          <w:rFonts w:hint="eastAsia"/>
        </w:rPr>
        <w:t>作为安徽省物流与采购联合会副会长单位，我院负责省物联的教育、培训工作，专业建设得到了安徽省物流采购联合会的大力支持。物流管理专业的校企深度融合企业安徽省徽商集团有限公司和中外运安徽公司在专业建设方面给予大力的支持，今后在校外基地建设、兼职教师提供等方面将进一步给予支持。</w:t>
      </w:r>
    </w:p>
    <w:p>
      <w:pPr>
        <w:ind w:firstLine="480" w:firstLineChars="200"/>
      </w:pPr>
      <w:r>
        <w:rPr>
          <w:rFonts w:hint="eastAsia"/>
        </w:rPr>
        <w:t>（4）制度保障</w:t>
      </w:r>
    </w:p>
    <w:p>
      <w:pPr>
        <w:ind w:firstLine="480" w:firstLineChars="200"/>
      </w:pPr>
      <w:bookmarkStart w:id="9" w:name="_Toc200993253"/>
      <w:bookmarkEnd w:id="9"/>
      <w:r>
        <w:rPr>
          <w:rFonts w:hint="eastAsia"/>
        </w:rPr>
        <w:t>为了保障物流管理专业建设的顺利实施，学院将出台一系列政策，做到目标明确，责任到人。严格按照财务制度使用建设资金，按照国家规定的建设程序建设。制定《理实一体项目管理办法》、《校企合作实习实训管理细则》等制度，规范双证融通情境教学工学结合的人才培养模式建设，完善“产业+企业+专业”的校企共建专业模式建立，为专业建设提供全面的制度保障。</w:t>
      </w:r>
    </w:p>
    <w:p>
      <w:pPr>
        <w:ind w:firstLine="480" w:firstLineChars="200"/>
      </w:pPr>
      <w:bookmarkStart w:id="10" w:name="_Toc479024297"/>
      <w:r>
        <w:rPr>
          <w:rFonts w:hint="eastAsia"/>
        </w:rPr>
        <w:t>（七）课程建设</w:t>
      </w:r>
      <w:bookmarkEnd w:id="10"/>
    </w:p>
    <w:p>
      <w:pPr>
        <w:ind w:firstLine="480" w:firstLineChars="200"/>
      </w:pPr>
      <w:r>
        <w:rPr>
          <w:rFonts w:hint="eastAsia"/>
        </w:rPr>
        <w:t>课程建设是提高教学质量与教学改革的重要组成部分，课程体系的设计要以行业企业对人才的那个能力要求为主线，突出核心能力培养，打破传统学科型教学体系，构建基于工作岗位为导向的课程体系，加大与优秀企业合作的深度，按照“以培养专业技术能力为主线，贯彻知识、能力和素质协调发展和共同提高”的课程建设原则，保证培养目标的顺利完成。</w:t>
      </w:r>
    </w:p>
    <w:p>
      <w:pPr>
        <w:ind w:firstLine="480" w:firstLineChars="200"/>
      </w:pPr>
      <w:r>
        <w:rPr>
          <w:rFonts w:hint="eastAsia"/>
        </w:rPr>
        <w:t>加大精品课程建设和校本教材的开发力度，从以下几个方面进行保障。</w:t>
      </w:r>
    </w:p>
    <w:p>
      <w:pPr>
        <w:ind w:firstLine="480" w:firstLineChars="200"/>
      </w:pPr>
      <w:r>
        <w:rPr>
          <w:rFonts w:hint="eastAsia"/>
        </w:rPr>
        <w:t xml:space="preserve">（1）物流教研室要立足实施精品课程建设，鼓励积极组织申报，要指定专人负责此项工作，并负责领导本单位重点课程的建设。 </w:t>
      </w:r>
    </w:p>
    <w:p>
      <w:pPr>
        <w:ind w:firstLine="480" w:firstLineChars="200"/>
      </w:pPr>
      <w:r>
        <w:rPr>
          <w:rFonts w:hint="eastAsia"/>
        </w:rPr>
        <w:t>（2）对本专业重点建设的课程要加强领导，统筹规划，提供优惠条件，在教学经费的使用上要给予倾斜。</w:t>
      </w:r>
    </w:p>
    <w:p>
      <w:pPr>
        <w:ind w:firstLine="480" w:firstLineChars="200"/>
      </w:pPr>
      <w:r>
        <w:rPr>
          <w:rFonts w:hint="eastAsia"/>
        </w:rPr>
        <w:t>（3）对提高课程建设水平起到明显作用的建设项目，学院在优秀教学成果奖评选中予以优先考虑。未能按期或按质完成课程建设任务，学校将视情节对课程负责人做出相应处理。</w:t>
      </w:r>
    </w:p>
    <w:p>
      <w:pPr>
        <w:ind w:firstLine="480" w:firstLineChars="200"/>
      </w:pPr>
      <w:bookmarkStart w:id="11" w:name="_Toc479024298"/>
      <w:r>
        <w:rPr>
          <w:rFonts w:hint="eastAsia"/>
        </w:rPr>
        <w:t>（八）教材</w:t>
      </w:r>
      <w:bookmarkEnd w:id="11"/>
    </w:p>
    <w:p>
      <w:pPr>
        <w:ind w:firstLine="480" w:firstLineChars="200"/>
      </w:pPr>
      <w:r>
        <w:rPr>
          <w:rFonts w:hint="eastAsia"/>
        </w:rPr>
        <w:t>应加大校本教材的开发力度，开发校本教材应把握以下几个原则：</w:t>
      </w:r>
    </w:p>
    <w:p>
      <w:pPr>
        <w:ind w:firstLine="480" w:firstLineChars="200"/>
      </w:pPr>
      <w:r>
        <w:rPr>
          <w:rFonts w:hint="eastAsia"/>
        </w:rPr>
        <w:t>（1）理论适度。不刻意追求完整、系统、严格的学科理论体系。</w:t>
      </w:r>
    </w:p>
    <w:p>
      <w:pPr>
        <w:ind w:firstLine="480" w:firstLineChars="200"/>
      </w:pPr>
      <w:r>
        <w:rPr>
          <w:rFonts w:hint="eastAsia"/>
        </w:rPr>
        <w:t>（2）突出应用性，加强理论联系实际。教材内容重点放在实训、操作技能以及案例分析等。</w:t>
      </w:r>
    </w:p>
    <w:p>
      <w:pPr>
        <w:ind w:firstLine="480" w:firstLineChars="200"/>
      </w:pPr>
      <w:r>
        <w:rPr>
          <w:rFonts w:hint="eastAsia"/>
        </w:rPr>
        <w:t>（3）教材编写以学为主。突出通俗性、趣味性，图文并茂。</w:t>
      </w:r>
    </w:p>
    <w:p>
      <w:pPr>
        <w:ind w:firstLine="480" w:firstLineChars="200"/>
      </w:pPr>
      <w:r>
        <w:rPr>
          <w:rFonts w:hint="eastAsia"/>
        </w:rPr>
        <w:t>（4）在教材结构、体例和编写风格上按照培养技术应用性人才的特点。如采用案例教学法、目标教学法等多种教学方法相结合的模式改革教材编写体例。</w:t>
      </w:r>
    </w:p>
    <w:p>
      <w:pPr>
        <w:pStyle w:val="2"/>
        <w:numPr>
          <w:ilvl w:val="0"/>
          <w:numId w:val="3"/>
        </w:numPr>
      </w:pPr>
      <w:r>
        <w:rPr>
          <w:rFonts w:hint="eastAsia"/>
        </w:rPr>
        <w:t>毕业要求</w:t>
      </w:r>
    </w:p>
    <w:p>
      <w:pPr>
        <w:ind w:firstLine="480" w:firstLineChars="200"/>
      </w:pPr>
      <w:r>
        <w:rPr>
          <w:rFonts w:hint="eastAsia"/>
        </w:rPr>
        <w:t>1.修完教学计划规定的各教学和军事、社会责任实践活动等环节并取得相应学分，专业修业最低学分为150。</w:t>
      </w:r>
    </w:p>
    <w:p>
      <w:pPr>
        <w:ind w:firstLine="480" w:firstLineChars="200"/>
      </w:pPr>
      <w:r>
        <w:rPr>
          <w:rFonts w:hint="eastAsia"/>
        </w:rPr>
        <w:t>2.获得全国计算机等级考试一级证书（计算机类专业获得二级证书）。</w:t>
      </w:r>
    </w:p>
    <w:p>
      <w:pPr>
        <w:ind w:firstLine="480" w:firstLineChars="200"/>
      </w:pPr>
      <w:r>
        <w:rPr>
          <w:rFonts w:hint="eastAsia"/>
        </w:rPr>
        <w:t>3.获得全国高等学校英语应用能力考试B级证书。 </w:t>
      </w:r>
    </w:p>
    <w:p>
      <w:pPr>
        <w:ind w:firstLine="480" w:firstLineChars="200"/>
      </w:pPr>
    </w:p>
    <w:p/>
    <w:p>
      <w:pPr>
        <w:widowControl/>
        <w:shd w:val="clear" w:color="auto" w:fill="FFFFFF"/>
        <w:spacing w:line="480" w:lineRule="exact"/>
        <w:jc w:val="center"/>
        <w:rPr>
          <w:rFonts w:ascii="宋体" w:hAnsi="宋体" w:cs="宋体"/>
          <w:b/>
          <w:kern w:val="0"/>
          <w:szCs w:val="28"/>
        </w:rPr>
      </w:pPr>
    </w:p>
    <w:p>
      <w:pPr>
        <w:widowControl/>
        <w:shd w:val="clear" w:color="auto" w:fill="FFFFFF"/>
        <w:spacing w:line="480" w:lineRule="exact"/>
        <w:jc w:val="center"/>
        <w:rPr>
          <w:rFonts w:ascii="宋体" w:hAnsi="宋体" w:cs="宋体"/>
          <w:b/>
          <w:kern w:val="0"/>
          <w:szCs w:val="28"/>
        </w:rPr>
      </w:pPr>
    </w:p>
    <w:p>
      <w:pPr>
        <w:widowControl/>
        <w:shd w:val="clear" w:color="auto" w:fill="FFFFFF"/>
        <w:spacing w:line="480" w:lineRule="exact"/>
        <w:jc w:val="center"/>
        <w:rPr>
          <w:rFonts w:ascii="宋体" w:hAnsi="宋体" w:cs="宋体"/>
          <w:b/>
          <w:kern w:val="0"/>
          <w:szCs w:val="28"/>
        </w:rPr>
      </w:pPr>
    </w:p>
    <w:p>
      <w:pPr>
        <w:widowControl/>
        <w:shd w:val="clear" w:color="auto" w:fill="FFFFFF"/>
        <w:spacing w:line="480" w:lineRule="exact"/>
        <w:rPr>
          <w:rFonts w:asciiTheme="minorEastAsia" w:hAnsiTheme="minorEastAsia" w:eastAsiaTheme="minorEastAsia" w:cstheme="minorEastAsia"/>
          <w:b/>
          <w:bCs/>
          <w:kern w:val="0"/>
          <w:sz w:val="28"/>
          <w:szCs w:val="28"/>
        </w:rPr>
      </w:pPr>
      <w:r>
        <w:rPr>
          <w:rFonts w:hint="eastAsia" w:asciiTheme="minorEastAsia" w:hAnsiTheme="minorEastAsia" w:eastAsiaTheme="minorEastAsia" w:cstheme="minorEastAsia"/>
          <w:b/>
          <w:bCs/>
          <w:kern w:val="0"/>
          <w:sz w:val="28"/>
          <w:szCs w:val="28"/>
        </w:rPr>
        <w:br w:type="page"/>
      </w:r>
    </w:p>
    <w:p>
      <w:pPr>
        <w:widowControl/>
        <w:shd w:val="clear" w:color="auto" w:fill="FFFFFF"/>
        <w:spacing w:line="480" w:lineRule="exact"/>
        <w:rPr>
          <w:rFonts w:asciiTheme="minorEastAsia" w:hAnsiTheme="minorEastAsia" w:eastAsiaTheme="minorEastAsia" w:cstheme="minorEastAsia"/>
          <w:b/>
          <w:bCs/>
          <w:kern w:val="0"/>
          <w:sz w:val="28"/>
          <w:szCs w:val="28"/>
        </w:rPr>
        <w:sectPr>
          <w:footerReference r:id="rId3" w:type="default"/>
          <w:pgSz w:w="11906" w:h="16838"/>
          <w:pgMar w:top="1440" w:right="1418" w:bottom="1440" w:left="1418" w:header="851" w:footer="992" w:gutter="0"/>
          <w:cols w:space="425" w:num="1"/>
          <w:docGrid w:type="lines" w:linePitch="312" w:charSpace="0"/>
        </w:sectPr>
      </w:pPr>
    </w:p>
    <w:p>
      <w:pPr>
        <w:widowControl/>
        <w:shd w:val="clear" w:color="auto" w:fill="FFFFFF"/>
        <w:spacing w:line="480" w:lineRule="exact"/>
        <w:rPr>
          <w:rFonts w:asciiTheme="minorEastAsia" w:hAnsiTheme="minorEastAsia" w:eastAsiaTheme="minorEastAsia" w:cstheme="minorEastAsia"/>
          <w:b/>
          <w:kern w:val="0"/>
          <w:sz w:val="28"/>
          <w:szCs w:val="32"/>
        </w:rPr>
      </w:pPr>
      <w:r>
        <w:rPr>
          <w:rFonts w:hint="eastAsia" w:asciiTheme="minorEastAsia" w:hAnsiTheme="minorEastAsia" w:eastAsiaTheme="minorEastAsia" w:cstheme="minorEastAsia"/>
          <w:b/>
          <w:bCs/>
          <w:kern w:val="0"/>
          <w:sz w:val="28"/>
          <w:szCs w:val="28"/>
        </w:rPr>
        <w:t xml:space="preserve">附表2：         </w:t>
      </w:r>
      <w:r>
        <w:rPr>
          <w:rFonts w:hint="eastAsia" w:asciiTheme="minorEastAsia" w:hAnsiTheme="minorEastAsia" w:eastAsiaTheme="minorEastAsia" w:cstheme="minorEastAsia"/>
          <w:b/>
          <w:kern w:val="0"/>
          <w:sz w:val="28"/>
          <w:szCs w:val="32"/>
        </w:rPr>
        <w:t>物流管理专业实践教学环节安排表</w:t>
      </w:r>
    </w:p>
    <w:p>
      <w:pPr>
        <w:widowControl/>
        <w:shd w:val="clear" w:color="auto" w:fill="FFFFFF"/>
        <w:spacing w:line="480" w:lineRule="exact"/>
        <w:rPr>
          <w:rFonts w:asciiTheme="minorEastAsia" w:hAnsiTheme="minorEastAsia" w:eastAsiaTheme="minorEastAsia" w:cstheme="minorEastAsia"/>
          <w:kern w:val="0"/>
          <w:sz w:val="28"/>
          <w:szCs w:val="28"/>
        </w:rPr>
      </w:pPr>
    </w:p>
    <w:tbl>
      <w:tblPr>
        <w:tblStyle w:val="11"/>
        <w:tblW w:w="94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799"/>
        <w:gridCol w:w="607"/>
        <w:gridCol w:w="630"/>
        <w:gridCol w:w="1992"/>
        <w:gridCol w:w="1928"/>
        <w:gridCol w:w="1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7"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序号</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实训项目</w:t>
            </w:r>
            <w:r>
              <w:rPr>
                <w:rFonts w:ascii="仿宋" w:hAnsi="仿宋" w:cs="宋体"/>
                <w:bCs/>
                <w:kern w:val="0"/>
              </w:rPr>
              <w:t xml:space="preserve">     </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学期</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周数</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实训内容</w:t>
            </w:r>
            <w:r>
              <w:rPr>
                <w:rFonts w:ascii="仿宋" w:hAnsi="仿宋" w:cs="宋体"/>
                <w:bCs/>
                <w:kern w:val="0"/>
              </w:rPr>
              <w:t xml:space="preserve">         </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实训场所</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bCs/>
                <w:kern w:val="0"/>
              </w:rPr>
              <w:t>1</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Cs/>
                <w:kern w:val="0"/>
              </w:rPr>
              <w:t>军训、入学教育（含安全教育）</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r>
              <w:rPr>
                <w:rFonts w:ascii="仿宋" w:hAnsi="仿宋" w:cs="宋体"/>
                <w:bCs/>
                <w:kern w:val="0"/>
              </w:rPr>
              <w:t>1</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r>
              <w:rPr>
                <w:rFonts w:ascii="仿宋" w:hAnsi="仿宋" w:cs="宋体"/>
                <w:b/>
                <w:bCs/>
                <w:kern w:val="0"/>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2"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b/>
                <w:bCs/>
                <w:kern w:val="0"/>
              </w:rPr>
              <w:t>2</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物流认知</w:t>
            </w:r>
            <w:r>
              <w:rPr>
                <w:rFonts w:ascii="仿宋" w:hAnsi="仿宋" w:cs="宋体"/>
                <w:kern w:val="0"/>
              </w:rPr>
              <w:t> </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hint="eastAsia" w:ascii="仿宋" w:hAnsi="仿宋" w:cs="宋体"/>
                <w:kern w:val="0"/>
              </w:rPr>
              <w:t>物流专业基础认知</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
                <w:bCs/>
                <w:kern w:val="0"/>
              </w:rPr>
              <w:t>3</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物流企业参观</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1</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企业参观</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物流企业</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8"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
                <w:bCs/>
                <w:kern w:val="0"/>
              </w:rPr>
              <w:t>4</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叉车驾驶</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hint="eastAsia" w:ascii="仿宋" w:hAnsi="仿宋" w:cs="宋体"/>
                <w:kern w:val="0"/>
              </w:rPr>
              <w:t>叉车驾驶理论与实务</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叉车证</w:t>
            </w: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5</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物流分模块实训1</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作业原理及简单设备操作</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6</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物流分模块实训2</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3</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物流分模块作业</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7</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物流综合实训</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4</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物流方案设计与实施</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b/>
                <w:bCs/>
                <w:kern w:val="0"/>
              </w:rPr>
              <w:t>8</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物流综合实训</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5</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2</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hint="eastAsia" w:ascii="仿宋" w:hAnsi="仿宋" w:cs="宋体"/>
                <w:kern w:val="0"/>
              </w:rPr>
              <w:t>物流一体化作业</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物流实训中心</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3" w:hRule="atLeast"/>
          <w:jc w:val="center"/>
        </w:trPr>
        <w:tc>
          <w:tcPr>
            <w:tcW w:w="64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宋体" w:cs="宋体"/>
                <w:b/>
                <w:bCs/>
                <w:kern w:val="0"/>
              </w:rPr>
              <w:t>9</w:t>
            </w:r>
          </w:p>
        </w:tc>
        <w:tc>
          <w:tcPr>
            <w:tcW w:w="179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 w:hAnsi="仿宋" w:cs="宋体"/>
                <w:kern w:val="0"/>
              </w:rPr>
            </w:pPr>
            <w:r>
              <w:rPr>
                <w:rFonts w:hint="eastAsia" w:ascii="仿宋" w:hAnsi="仿宋" w:cs="宋体"/>
                <w:bCs/>
                <w:kern w:val="0"/>
              </w:rPr>
              <w:t>顶岗实习</w:t>
            </w:r>
          </w:p>
          <w:p>
            <w:pPr>
              <w:widowControl/>
              <w:spacing w:line="240" w:lineRule="exact"/>
              <w:jc w:val="center"/>
              <w:rPr>
                <w:rFonts w:ascii="仿宋" w:hAnsi="仿宋" w:cs="宋体"/>
                <w:kern w:val="0"/>
              </w:rPr>
            </w:pPr>
            <w:r>
              <w:rPr>
                <w:rFonts w:hint="eastAsia" w:ascii="仿宋" w:hAnsi="仿宋" w:cs="宋体"/>
                <w:bCs/>
                <w:kern w:val="0"/>
              </w:rPr>
              <w:t>（含毕业设计）</w:t>
            </w:r>
          </w:p>
        </w:tc>
        <w:tc>
          <w:tcPr>
            <w:tcW w:w="607"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宋体" w:cs="宋体"/>
                <w:b/>
                <w:bCs/>
                <w:kern w:val="0"/>
              </w:rPr>
              <w:t>5-6</w:t>
            </w:r>
          </w:p>
        </w:tc>
        <w:tc>
          <w:tcPr>
            <w:tcW w:w="630"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Cs/>
                <w:kern w:val="0"/>
              </w:rPr>
              <w:t> </w:t>
            </w:r>
            <w:r>
              <w:rPr>
                <w:rFonts w:hint="eastAsia" w:ascii="宋体" w:cs="宋体"/>
                <w:bCs/>
                <w:kern w:val="0"/>
              </w:rPr>
              <w:t>30</w:t>
            </w:r>
          </w:p>
        </w:tc>
        <w:tc>
          <w:tcPr>
            <w:tcW w:w="1992"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hint="eastAsia" w:ascii="仿宋" w:hAnsi="仿宋" w:cs="宋体"/>
                <w:kern w:val="0"/>
              </w:rPr>
              <w:t>企业顶岗</w:t>
            </w:r>
          </w:p>
        </w:tc>
        <w:tc>
          <w:tcPr>
            <w:tcW w:w="1928"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仿宋" w:hAnsi="仿宋" w:cs="宋体"/>
                <w:kern w:val="0"/>
              </w:rPr>
              <w:t> </w:t>
            </w:r>
            <w:r>
              <w:rPr>
                <w:rFonts w:hint="eastAsia" w:ascii="仿宋" w:hAnsi="仿宋" w:cs="宋体"/>
                <w:kern w:val="0"/>
              </w:rPr>
              <w:t>物流企业</w:t>
            </w:r>
          </w:p>
        </w:tc>
        <w:tc>
          <w:tcPr>
            <w:tcW w:w="1823" w:type="dxa"/>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line="240" w:lineRule="exact"/>
              <w:jc w:val="center"/>
              <w:outlineLvl w:val="4"/>
              <w:rPr>
                <w:rFonts w:ascii="仿宋" w:hAnsi="仿宋" w:cs="宋体"/>
                <w:kern w:val="0"/>
              </w:rPr>
            </w:pPr>
            <w:r>
              <w:rPr>
                <w:rFonts w:ascii="宋体" w:cs="宋体"/>
                <w:b/>
                <w:bCs/>
                <w:kern w:val="0"/>
              </w:rPr>
              <w:t> </w:t>
            </w:r>
          </w:p>
        </w:tc>
      </w:tr>
    </w:tbl>
    <w:p>
      <w:pPr>
        <w:widowControl/>
        <w:shd w:val="clear" w:color="auto" w:fill="FFFFFF"/>
        <w:spacing w:line="480" w:lineRule="exact"/>
        <w:ind w:firstLine="480" w:firstLineChars="200"/>
        <w:jc w:val="left"/>
        <w:rPr>
          <w:rFonts w:ascii="仿宋" w:hAnsi="仿宋" w:cs="宋体"/>
          <w:kern w:val="0"/>
        </w:rPr>
      </w:pP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说明：</w:t>
      </w:r>
      <w:r>
        <w:rPr>
          <w:rFonts w:hint="eastAsia" w:ascii="仿宋" w:hAnsi="仿宋" w:cs="宋体"/>
          <w:b/>
          <w:bCs/>
          <w:kern w:val="0"/>
        </w:rPr>
        <w:t>1.必修课用“B”（大写）表示，选修课用“X”（大写）表示；</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 xml:space="preserve">      </w:t>
      </w:r>
      <w:r>
        <w:rPr>
          <w:rFonts w:hint="eastAsia" w:ascii="仿宋" w:hAnsi="仿宋" w:cs="宋体"/>
          <w:b/>
          <w:bCs/>
          <w:kern w:val="0"/>
        </w:rPr>
        <w:t>2.课程代码由7位构成，具体格式如下：</w:t>
      </w:r>
    </w:p>
    <w:p>
      <w:pPr>
        <w:widowControl/>
        <w:shd w:val="clear" w:color="auto" w:fill="FFFFFF"/>
        <w:spacing w:line="480" w:lineRule="exact"/>
        <w:ind w:firstLine="480" w:firstLineChars="200"/>
        <w:jc w:val="left"/>
        <w:rPr>
          <w:rFonts w:ascii="仿宋" w:hAnsi="仿宋" w:cs="宋体"/>
          <w:kern w:val="0"/>
        </w:rPr>
      </w:pPr>
      <w:r>
        <w:rPr>
          <w:rFonts w:hint="eastAsia" w:ascii="仿宋" w:hAnsi="仿宋" w:cs="宋体"/>
          <w:kern w:val="0"/>
        </w:rPr>
        <w:t>课程代码格式：2位年级号+1位系别（会计1，物流2，商贸3，电子4）+2位专业识别码（2位大写字母）+2位流水号。</w:t>
      </w:r>
    </w:p>
    <w:p>
      <w:pPr>
        <w:widowControl/>
        <w:shd w:val="clear" w:color="auto" w:fill="FFFFFF"/>
        <w:adjustRightInd w:val="0"/>
        <w:snapToGrid w:val="0"/>
        <w:jc w:val="left"/>
        <w:rPr>
          <w:rFonts w:ascii="宋体" w:hAnsi="宋体"/>
          <w:sz w:val="28"/>
          <w:szCs w:val="28"/>
        </w:rPr>
        <w:sectPr>
          <w:footerReference r:id="rId4" w:type="default"/>
          <w:type w:val="continuous"/>
          <w:pgSz w:w="11906" w:h="16838"/>
          <w:pgMar w:top="1440" w:right="1418" w:bottom="1440" w:left="1418" w:header="851" w:footer="992" w:gutter="0"/>
          <w:pgNumType w:start="28"/>
          <w:cols w:space="425" w:num="1"/>
          <w:docGrid w:type="lines" w:linePitch="312" w:charSpace="0"/>
        </w:sectPr>
      </w:pPr>
    </w:p>
    <w:p>
      <w:pPr>
        <w:widowControl/>
        <w:shd w:val="clear" w:color="auto" w:fill="FFFFFF"/>
        <w:adjustRightInd w:val="0"/>
        <w:snapToGrid w:val="0"/>
        <w:jc w:val="left"/>
        <w:rPr>
          <w:rFonts w:ascii="宋体" w:hAnsi="宋体" w:cs="宋体"/>
          <w:kern w:val="0"/>
        </w:rPr>
      </w:pPr>
      <w:r>
        <w:rPr>
          <w:rFonts w:hint="eastAsia" w:ascii="宋体" w:hAnsi="宋体"/>
          <w:sz w:val="28"/>
          <w:szCs w:val="28"/>
        </w:rPr>
        <w:t>附件2：</w:t>
      </w:r>
      <w:r>
        <w:rPr>
          <w:kern w:val="0"/>
          <w:sz w:val="52"/>
          <w:szCs w:val="52"/>
        </w:rPr>
        <w:t> </w:t>
      </w:r>
    </w:p>
    <w:p>
      <w:pPr>
        <w:widowControl/>
        <w:shd w:val="clear" w:color="auto" w:fill="FFFFFF"/>
        <w:jc w:val="center"/>
        <w:rPr>
          <w:rFonts w:ascii="宋体" w:hAnsi="宋体" w:cs="宋体"/>
          <w:kern w:val="0"/>
        </w:rPr>
      </w:pPr>
      <w:r>
        <w:rPr>
          <w:rFonts w:hint="eastAsia" w:cs="宋体"/>
          <w:b/>
          <w:kern w:val="0"/>
          <w:sz w:val="52"/>
          <w:szCs w:val="52"/>
        </w:rPr>
        <w:t>徽商职业学院</w:t>
      </w:r>
    </w:p>
    <w:p>
      <w:pPr>
        <w:widowControl/>
        <w:shd w:val="clear" w:color="auto" w:fill="FFFFFF"/>
        <w:jc w:val="center"/>
        <w:rPr>
          <w:rFonts w:ascii="宋体" w:hAnsi="宋体" w:cs="宋体"/>
          <w:kern w:val="0"/>
        </w:rPr>
      </w:pPr>
      <w:r>
        <w:rPr>
          <w:rFonts w:hint="eastAsia" w:ascii="仿宋" w:hAnsi="仿宋"/>
          <w:b/>
          <w:bCs/>
          <w:kern w:val="0"/>
          <w:sz w:val="52"/>
          <w:szCs w:val="52"/>
        </w:rPr>
        <w:t>专业人才培养方案审批表</w:t>
      </w:r>
    </w:p>
    <w:p>
      <w:pPr>
        <w:widowControl/>
        <w:shd w:val="clear" w:color="auto" w:fill="FFFFFF"/>
        <w:jc w:val="center"/>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52"/>
          <w:szCs w:val="52"/>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专业（方向）名称</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所</w:t>
      </w:r>
      <w:r>
        <w:rPr>
          <w:kern w:val="0"/>
          <w:sz w:val="36"/>
          <w:szCs w:val="36"/>
        </w:rPr>
        <w:t xml:space="preserve">  </w:t>
      </w:r>
      <w:r>
        <w:rPr>
          <w:rFonts w:hint="eastAsia" w:cs="宋体"/>
          <w:kern w:val="0"/>
          <w:sz w:val="36"/>
          <w:szCs w:val="36"/>
        </w:rPr>
        <w:t>在</w:t>
      </w:r>
      <w:r>
        <w:rPr>
          <w:kern w:val="0"/>
          <w:sz w:val="36"/>
          <w:szCs w:val="36"/>
        </w:rPr>
        <w:t xml:space="preserve">  </w:t>
      </w:r>
      <w:r>
        <w:rPr>
          <w:rFonts w:hint="eastAsia" w:cs="宋体"/>
          <w:kern w:val="0"/>
          <w:sz w:val="36"/>
          <w:szCs w:val="36"/>
        </w:rPr>
        <w:t>系</w:t>
      </w:r>
      <w:r>
        <w:rPr>
          <w:kern w:val="0"/>
          <w:sz w:val="36"/>
          <w:szCs w:val="36"/>
        </w:rPr>
        <w:t xml:space="preserve">  </w:t>
      </w:r>
      <w:r>
        <w:rPr>
          <w:rFonts w:hint="eastAsia" w:cs="宋体"/>
          <w:kern w:val="0"/>
          <w:sz w:val="36"/>
          <w:szCs w:val="36"/>
        </w:rPr>
        <w:t>部</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专</w:t>
      </w:r>
      <w:r>
        <w:rPr>
          <w:kern w:val="0"/>
          <w:sz w:val="36"/>
          <w:szCs w:val="36"/>
        </w:rPr>
        <w:t xml:space="preserve"> </w:t>
      </w:r>
      <w:r>
        <w:rPr>
          <w:rFonts w:hint="eastAsia" w:cs="宋体"/>
          <w:kern w:val="0"/>
          <w:sz w:val="36"/>
          <w:szCs w:val="36"/>
        </w:rPr>
        <w:t>业</w:t>
      </w:r>
      <w:r>
        <w:rPr>
          <w:kern w:val="0"/>
          <w:sz w:val="36"/>
          <w:szCs w:val="36"/>
        </w:rPr>
        <w:t xml:space="preserve"> </w:t>
      </w:r>
      <w:r>
        <w:rPr>
          <w:rFonts w:hint="eastAsia" w:cs="宋体"/>
          <w:kern w:val="0"/>
          <w:sz w:val="36"/>
          <w:szCs w:val="36"/>
        </w:rPr>
        <w:t>负</w:t>
      </w:r>
      <w:r>
        <w:rPr>
          <w:kern w:val="0"/>
          <w:sz w:val="36"/>
          <w:szCs w:val="36"/>
        </w:rPr>
        <w:t xml:space="preserve"> </w:t>
      </w:r>
      <w:r>
        <w:rPr>
          <w:rFonts w:hint="eastAsia" w:cs="宋体"/>
          <w:kern w:val="0"/>
          <w:sz w:val="36"/>
          <w:szCs w:val="36"/>
        </w:rPr>
        <w:t>责</w:t>
      </w:r>
      <w:r>
        <w:rPr>
          <w:kern w:val="0"/>
          <w:sz w:val="36"/>
          <w:szCs w:val="36"/>
        </w:rPr>
        <w:t xml:space="preserve"> </w:t>
      </w:r>
      <w:r>
        <w:rPr>
          <w:rFonts w:hint="eastAsia" w:cs="宋体"/>
          <w:kern w:val="0"/>
          <w:sz w:val="36"/>
          <w:szCs w:val="36"/>
        </w:rPr>
        <w:t>人</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适</w:t>
      </w:r>
      <w:r>
        <w:rPr>
          <w:kern w:val="0"/>
          <w:sz w:val="36"/>
          <w:szCs w:val="36"/>
        </w:rPr>
        <w:t xml:space="preserve">  </w:t>
      </w:r>
      <w:r>
        <w:rPr>
          <w:rFonts w:hint="eastAsia" w:cs="宋体"/>
          <w:kern w:val="0"/>
          <w:sz w:val="36"/>
          <w:szCs w:val="36"/>
        </w:rPr>
        <w:t>用</w:t>
      </w:r>
      <w:r>
        <w:rPr>
          <w:kern w:val="0"/>
          <w:sz w:val="36"/>
          <w:szCs w:val="36"/>
        </w:rPr>
        <w:t xml:space="preserve">  </w:t>
      </w:r>
      <w:r>
        <w:rPr>
          <w:rFonts w:hint="eastAsia" w:cs="宋体"/>
          <w:kern w:val="0"/>
          <w:sz w:val="36"/>
          <w:szCs w:val="36"/>
        </w:rPr>
        <w:t>年</w:t>
      </w:r>
      <w:r>
        <w:rPr>
          <w:kern w:val="0"/>
          <w:sz w:val="36"/>
          <w:szCs w:val="36"/>
        </w:rPr>
        <w:t xml:space="preserve">  </w:t>
      </w:r>
      <w:r>
        <w:rPr>
          <w:rFonts w:hint="eastAsia" w:cs="宋体"/>
          <w:kern w:val="0"/>
          <w:sz w:val="36"/>
          <w:szCs w:val="36"/>
        </w:rPr>
        <w:t>级</w:t>
      </w:r>
      <w:r>
        <w:rPr>
          <w:kern w:val="0"/>
          <w:sz w:val="36"/>
          <w:szCs w:val="36"/>
          <w:u w:val="single"/>
        </w:rPr>
        <w:t xml:space="preserve">                     </w:t>
      </w:r>
    </w:p>
    <w:p>
      <w:pPr>
        <w:widowControl/>
        <w:shd w:val="clear" w:color="auto" w:fill="FFFFFF"/>
        <w:ind w:firstLine="720" w:firstLineChars="200"/>
        <w:jc w:val="left"/>
        <w:rPr>
          <w:rFonts w:ascii="宋体" w:hAnsi="宋体" w:cs="宋体"/>
          <w:kern w:val="0"/>
        </w:rPr>
      </w:pPr>
      <w:r>
        <w:rPr>
          <w:kern w:val="0"/>
          <w:sz w:val="36"/>
          <w:szCs w:val="36"/>
        </w:rPr>
        <w:t> </w:t>
      </w:r>
    </w:p>
    <w:p>
      <w:pPr>
        <w:widowControl/>
        <w:shd w:val="clear" w:color="auto" w:fill="FFFFFF"/>
        <w:ind w:firstLine="720" w:firstLineChars="200"/>
        <w:jc w:val="left"/>
        <w:rPr>
          <w:rFonts w:ascii="宋体" w:hAnsi="宋体" w:cs="宋体"/>
          <w:kern w:val="0"/>
        </w:rPr>
      </w:pPr>
      <w:r>
        <w:rPr>
          <w:kern w:val="0"/>
          <w:sz w:val="36"/>
          <w:szCs w:val="36"/>
        </w:rPr>
        <w:t xml:space="preserve">   </w:t>
      </w:r>
      <w:r>
        <w:rPr>
          <w:rFonts w:hint="eastAsia" w:cs="宋体"/>
          <w:kern w:val="0"/>
          <w:sz w:val="36"/>
          <w:szCs w:val="36"/>
        </w:rPr>
        <w:t>制定（修订）日期</w:t>
      </w:r>
      <w:r>
        <w:rPr>
          <w:kern w:val="0"/>
          <w:sz w:val="36"/>
          <w:szCs w:val="36"/>
          <w:u w:val="single"/>
        </w:rPr>
        <w:t xml:space="preserve">                   </w:t>
      </w:r>
    </w:p>
    <w:p>
      <w:pPr>
        <w:widowControl/>
        <w:shd w:val="clear" w:color="auto" w:fill="FFFFFF"/>
        <w:ind w:firstLine="1040" w:firstLineChars="200"/>
        <w:jc w:val="left"/>
        <w:rPr>
          <w:rFonts w:ascii="宋体" w:hAnsi="宋体" w:cs="宋体"/>
          <w:kern w:val="0"/>
        </w:rPr>
      </w:pPr>
      <w:r>
        <w:rPr>
          <w:kern w:val="0"/>
          <w:sz w:val="52"/>
          <w:szCs w:val="5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kern w:val="0"/>
          <w:sz w:val="32"/>
          <w:szCs w:val="32"/>
        </w:rPr>
        <w:t> </w:t>
      </w:r>
    </w:p>
    <w:p>
      <w:pPr>
        <w:widowControl/>
        <w:shd w:val="clear" w:color="auto" w:fill="FFFFFF"/>
        <w:jc w:val="center"/>
        <w:rPr>
          <w:rFonts w:ascii="宋体" w:hAnsi="宋体" w:cs="宋体"/>
          <w:kern w:val="0"/>
        </w:rPr>
      </w:pPr>
      <w:r>
        <w:rPr>
          <w:rFonts w:hint="eastAsia" w:cs="宋体"/>
          <w:kern w:val="0"/>
          <w:sz w:val="32"/>
          <w:szCs w:val="32"/>
        </w:rPr>
        <w:t>徽商职业学院 教务处制</w:t>
      </w:r>
    </w:p>
    <w:p>
      <w:pPr>
        <w:widowControl/>
        <w:shd w:val="clear" w:color="auto" w:fill="FFFFFF"/>
        <w:jc w:val="center"/>
        <w:rPr>
          <w:rFonts w:ascii="宋体" w:hAnsi="宋体" w:cs="宋体"/>
          <w:kern w:val="0"/>
        </w:rPr>
      </w:pPr>
      <w:r>
        <w:rPr>
          <w:sz w:val="32"/>
          <w:szCs w:val="32"/>
        </w:rPr>
        <w:br w:type="page"/>
      </w:r>
      <w:r>
        <w:rPr>
          <w:kern w:val="0"/>
          <w:sz w:val="32"/>
          <w:szCs w:val="32"/>
        </w:rPr>
        <w:t> </w:t>
      </w:r>
    </w:p>
    <w:p>
      <w:pPr>
        <w:widowControl/>
        <w:shd w:val="clear" w:color="auto" w:fill="FFFFFF"/>
        <w:jc w:val="center"/>
        <w:rPr>
          <w:rFonts w:ascii="宋体" w:hAnsi="宋体" w:cs="宋体"/>
          <w:kern w:val="0"/>
        </w:rPr>
      </w:pPr>
      <w:r>
        <w:rPr>
          <w:rFonts w:hint="eastAsia" w:cs="宋体"/>
          <w:b/>
          <w:bCs/>
          <w:kern w:val="0"/>
          <w:sz w:val="44"/>
          <w:szCs w:val="44"/>
        </w:rPr>
        <w:t>目</w:t>
      </w:r>
      <w:r>
        <w:rPr>
          <w:b/>
          <w:bCs/>
          <w:kern w:val="0"/>
          <w:sz w:val="44"/>
          <w:szCs w:val="44"/>
        </w:rPr>
        <w:t xml:space="preserve">   </w:t>
      </w:r>
      <w:r>
        <w:rPr>
          <w:rFonts w:hint="eastAsia" w:cs="宋体"/>
          <w:b/>
          <w:bCs/>
          <w:kern w:val="0"/>
          <w:sz w:val="44"/>
          <w:szCs w:val="44"/>
        </w:rPr>
        <w:t>录</w:t>
      </w:r>
    </w:p>
    <w:p>
      <w:pPr>
        <w:widowControl/>
        <w:shd w:val="clear" w:color="auto" w:fill="FFFFFF"/>
        <w:jc w:val="left"/>
        <w:rPr>
          <w:rFonts w:ascii="宋体" w:hAnsi="宋体" w:cs="宋体"/>
          <w:kern w:val="0"/>
        </w:rPr>
      </w:pPr>
      <w:r>
        <w:rPr>
          <w:kern w:val="0"/>
          <w:sz w:val="32"/>
          <w:szCs w:val="32"/>
        </w:rPr>
        <w:t> </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1．专业建设指导委员会论证意见</w:t>
      </w:r>
    </w:p>
    <w:p>
      <w:pPr>
        <w:widowControl/>
        <w:shd w:val="clear" w:color="auto" w:fill="FFFFFF"/>
        <w:ind w:firstLine="420" w:firstLineChars="150"/>
        <w:jc w:val="left"/>
        <w:rPr>
          <w:rFonts w:ascii="宋体" w:hAnsi="宋体" w:cs="宋体"/>
          <w:kern w:val="0"/>
        </w:rPr>
      </w:pPr>
      <w:r>
        <w:rPr>
          <w:rFonts w:hint="eastAsia" w:ascii="宋体" w:hAnsi="宋体" w:cs="宋体"/>
          <w:kern w:val="0"/>
          <w:sz w:val="28"/>
          <w:szCs w:val="28"/>
        </w:rPr>
        <w:t>2．徽商职业学院专业人才培养方案审批意见</w:t>
      </w:r>
    </w:p>
    <w:p>
      <w:pPr>
        <w:widowControl/>
        <w:shd w:val="clear" w:color="auto" w:fill="FFFFFF"/>
        <w:jc w:val="center"/>
        <w:rPr>
          <w:rFonts w:ascii="宋体" w:hAnsi="宋体" w:cs="宋体"/>
          <w:kern w:val="0"/>
        </w:rPr>
      </w:pPr>
      <w:r>
        <w:rPr>
          <w:sz w:val="52"/>
          <w:szCs w:val="52"/>
          <w:u w:val="single"/>
        </w:rPr>
        <w:br w:type="page"/>
      </w:r>
      <w:r>
        <w:rPr>
          <w:rFonts w:hint="eastAsia" w:cs="宋体"/>
          <w:b/>
          <w:bCs/>
          <w:kern w:val="0"/>
          <w:sz w:val="32"/>
          <w:szCs w:val="32"/>
        </w:rPr>
        <w:t>专业建设指导委员会论证意见</w:t>
      </w:r>
    </w:p>
    <w:p>
      <w:pPr>
        <w:widowControl/>
        <w:shd w:val="clear" w:color="auto" w:fill="FFFFFF"/>
        <w:jc w:val="center"/>
        <w:rPr>
          <w:rFonts w:ascii="宋体" w:hAnsi="宋体" w:cs="宋体"/>
          <w:kern w:val="0"/>
        </w:rPr>
      </w:pPr>
      <w:r>
        <w:rPr>
          <w:rFonts w:hint="eastAsia" w:cs="宋体"/>
          <w:kern w:val="0"/>
          <w:sz w:val="28"/>
          <w:szCs w:val="28"/>
        </w:rPr>
        <w:t>论证专业（方向）名称：</w:t>
      </w:r>
      <w:r>
        <w:rPr>
          <w:kern w:val="0"/>
          <w:sz w:val="28"/>
          <w:szCs w:val="28"/>
          <w:u w:val="single"/>
        </w:rPr>
        <w:t xml:space="preserve">              </w:t>
      </w:r>
      <w:r>
        <w:rPr>
          <w:rFonts w:hint="eastAsia" w:cs="宋体"/>
          <w:kern w:val="0"/>
          <w:sz w:val="28"/>
          <w:szCs w:val="28"/>
        </w:rPr>
        <w:t>论证时间：</w:t>
      </w:r>
      <w:r>
        <w:rPr>
          <w:kern w:val="0"/>
          <w:sz w:val="28"/>
          <w:szCs w:val="28"/>
          <w:u w:val="single"/>
        </w:rPr>
        <w:t xml:space="preserve">    </w:t>
      </w:r>
      <w:r>
        <w:rPr>
          <w:rFonts w:hint="eastAsia" w:cs="宋体"/>
          <w:kern w:val="0"/>
          <w:sz w:val="28"/>
          <w:szCs w:val="28"/>
        </w:rPr>
        <w:t>年</w:t>
      </w:r>
      <w:r>
        <w:rPr>
          <w:kern w:val="0"/>
          <w:sz w:val="28"/>
          <w:szCs w:val="28"/>
          <w:u w:val="single"/>
        </w:rPr>
        <w:t xml:space="preserve">   </w:t>
      </w:r>
      <w:r>
        <w:rPr>
          <w:rFonts w:hint="eastAsia" w:cs="宋体"/>
          <w:kern w:val="0"/>
          <w:sz w:val="28"/>
          <w:szCs w:val="28"/>
        </w:rPr>
        <w:t>月</w:t>
      </w:r>
      <w:r>
        <w:rPr>
          <w:kern w:val="0"/>
          <w:sz w:val="28"/>
          <w:szCs w:val="28"/>
          <w:u w:val="single"/>
        </w:rPr>
        <w:t xml:space="preserve">    </w:t>
      </w:r>
      <w:r>
        <w:rPr>
          <w:rFonts w:hint="eastAsia" w:cs="宋体"/>
          <w:kern w:val="0"/>
          <w:sz w:val="28"/>
          <w:szCs w:val="28"/>
        </w:rPr>
        <w:t>日</w:t>
      </w:r>
    </w:p>
    <w:tbl>
      <w:tblPr>
        <w:tblStyle w:val="11"/>
        <w:tblW w:w="8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6"/>
        <w:gridCol w:w="1049"/>
        <w:gridCol w:w="1416"/>
        <w:gridCol w:w="1860"/>
        <w:gridCol w:w="1488"/>
        <w:gridCol w:w="120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rPr>
            </w:pPr>
            <w:r>
              <w:rPr>
                <w:rFonts w:hint="eastAsia" w:cs="宋体"/>
                <w:kern w:val="0"/>
              </w:rPr>
              <w:t>专业建设指导委员会名称</w:t>
            </w:r>
          </w:p>
        </w:tc>
        <w:tc>
          <w:tcPr>
            <w:tcW w:w="5942" w:type="dxa"/>
            <w:gridSpan w:val="4"/>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w:t>
            </w:r>
          </w:p>
          <w:p>
            <w:pPr>
              <w:widowControl/>
              <w:jc w:val="center"/>
              <w:rPr>
                <w:rFonts w:ascii="宋体" w:hAnsi="宋体" w:cs="宋体"/>
                <w:kern w:val="0"/>
              </w:rPr>
            </w:pPr>
            <w:r>
              <w:rPr>
                <w:rFonts w:hint="eastAsia" w:cs="宋体"/>
                <w:kern w:val="0"/>
                <w:sz w:val="28"/>
                <w:szCs w:val="28"/>
              </w:rPr>
              <w:t>业</w:t>
            </w:r>
          </w:p>
          <w:p>
            <w:pPr>
              <w:widowControl/>
              <w:jc w:val="center"/>
              <w:rPr>
                <w:rFonts w:ascii="宋体" w:hAnsi="宋体" w:cs="宋体"/>
                <w:kern w:val="0"/>
              </w:rPr>
            </w:pPr>
            <w:r>
              <w:rPr>
                <w:rFonts w:hint="eastAsia" w:cs="宋体"/>
                <w:kern w:val="0"/>
                <w:sz w:val="28"/>
                <w:szCs w:val="28"/>
              </w:rPr>
              <w:t>建</w:t>
            </w:r>
          </w:p>
          <w:p>
            <w:pPr>
              <w:widowControl/>
              <w:jc w:val="center"/>
              <w:rPr>
                <w:rFonts w:ascii="宋体" w:hAnsi="宋体" w:cs="宋体"/>
                <w:kern w:val="0"/>
              </w:rPr>
            </w:pPr>
            <w:r>
              <w:rPr>
                <w:rFonts w:hint="eastAsia" w:cs="宋体"/>
                <w:kern w:val="0"/>
                <w:sz w:val="28"/>
                <w:szCs w:val="28"/>
              </w:rPr>
              <w:t>设</w:t>
            </w:r>
          </w:p>
          <w:p>
            <w:pPr>
              <w:widowControl/>
              <w:jc w:val="center"/>
              <w:rPr>
                <w:rFonts w:ascii="宋体" w:hAnsi="宋体" w:cs="宋体"/>
                <w:kern w:val="0"/>
              </w:rPr>
            </w:pPr>
            <w:r>
              <w:rPr>
                <w:rFonts w:hint="eastAsia" w:cs="宋体"/>
                <w:kern w:val="0"/>
                <w:sz w:val="28"/>
                <w:szCs w:val="28"/>
              </w:rPr>
              <w:t>指</w:t>
            </w:r>
          </w:p>
          <w:p>
            <w:pPr>
              <w:widowControl/>
              <w:jc w:val="center"/>
              <w:rPr>
                <w:rFonts w:ascii="宋体" w:hAnsi="宋体" w:cs="宋体"/>
                <w:kern w:val="0"/>
              </w:rPr>
            </w:pPr>
            <w:r>
              <w:rPr>
                <w:rFonts w:hint="eastAsia" w:cs="宋体"/>
                <w:kern w:val="0"/>
                <w:sz w:val="28"/>
                <w:szCs w:val="28"/>
              </w:rPr>
              <w:t>导</w:t>
            </w:r>
          </w:p>
          <w:p>
            <w:pPr>
              <w:widowControl/>
              <w:jc w:val="center"/>
              <w:rPr>
                <w:rFonts w:ascii="宋体" w:hAnsi="宋体" w:cs="宋体"/>
                <w:kern w:val="0"/>
              </w:rPr>
            </w:pPr>
            <w:r>
              <w:rPr>
                <w:rFonts w:hint="eastAsia" w:cs="宋体"/>
                <w:kern w:val="0"/>
                <w:sz w:val="28"/>
                <w:szCs w:val="28"/>
              </w:rPr>
              <w:t>委</w:t>
            </w:r>
          </w:p>
          <w:p>
            <w:pPr>
              <w:widowControl/>
              <w:jc w:val="center"/>
              <w:rPr>
                <w:rFonts w:ascii="宋体" w:hAnsi="宋体" w:cs="宋体"/>
                <w:kern w:val="0"/>
              </w:rPr>
            </w:pPr>
            <w:r>
              <w:rPr>
                <w:rFonts w:hint="eastAsia" w:cs="宋体"/>
                <w:kern w:val="0"/>
                <w:sz w:val="28"/>
                <w:szCs w:val="28"/>
              </w:rPr>
              <w:t>员</w:t>
            </w:r>
          </w:p>
          <w:p>
            <w:pPr>
              <w:widowControl/>
              <w:jc w:val="center"/>
              <w:rPr>
                <w:rFonts w:ascii="宋体" w:hAnsi="宋体" w:cs="宋体"/>
                <w:kern w:val="0"/>
              </w:rPr>
            </w:pPr>
            <w:r>
              <w:rPr>
                <w:rFonts w:hint="eastAsia" w:cs="宋体"/>
                <w:kern w:val="0"/>
                <w:sz w:val="28"/>
                <w:szCs w:val="28"/>
              </w:rPr>
              <w:t>会</w:t>
            </w:r>
          </w:p>
          <w:p>
            <w:pPr>
              <w:widowControl/>
              <w:jc w:val="center"/>
              <w:rPr>
                <w:rFonts w:ascii="宋体" w:hAnsi="宋体" w:cs="宋体"/>
                <w:kern w:val="0"/>
              </w:rPr>
            </w:pPr>
            <w:r>
              <w:rPr>
                <w:rFonts w:hint="eastAsia" w:cs="宋体"/>
                <w:kern w:val="0"/>
                <w:sz w:val="28"/>
                <w:szCs w:val="28"/>
              </w:rPr>
              <w:t>成</w:t>
            </w:r>
          </w:p>
          <w:p>
            <w:pPr>
              <w:widowControl/>
              <w:jc w:val="center"/>
              <w:rPr>
                <w:rFonts w:ascii="宋体" w:hAnsi="宋体" w:cs="宋体"/>
                <w:kern w:val="0"/>
              </w:rPr>
            </w:pPr>
            <w:r>
              <w:rPr>
                <w:rFonts w:hint="eastAsia" w:cs="宋体"/>
                <w:kern w:val="0"/>
                <w:sz w:val="28"/>
                <w:szCs w:val="28"/>
              </w:rPr>
              <w:t>员</w:t>
            </w: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姓名</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职务</w:t>
            </w:r>
            <w:r>
              <w:rPr>
                <w:kern w:val="0"/>
                <w:sz w:val="28"/>
                <w:szCs w:val="28"/>
              </w:rPr>
              <w:t>/</w:t>
            </w:r>
            <w:r>
              <w:rPr>
                <w:rFonts w:hint="eastAsia" w:cs="宋体"/>
                <w:kern w:val="0"/>
                <w:sz w:val="28"/>
                <w:szCs w:val="28"/>
              </w:rPr>
              <w:t>职称</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工作单位</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专业特长</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签名</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04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16"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86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48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200"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c>
          <w:tcPr>
            <w:tcW w:w="139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0" w:hRule="atLeast"/>
        </w:trPr>
        <w:tc>
          <w:tcPr>
            <w:tcW w:w="446" w:type="dxa"/>
            <w:tcBorders>
              <w:top w:val="single" w:color="auto" w:sz="4" w:space="0"/>
              <w:left w:val="single" w:color="auto" w:sz="4" w:space="0"/>
              <w:bottom w:val="single" w:color="auto" w:sz="4" w:space="0"/>
              <w:right w:val="single" w:color="auto" w:sz="4" w:space="0"/>
            </w:tcBorders>
            <w:shd w:val="clear" w:color="auto" w:fill="auto"/>
          </w:tcPr>
          <w:p>
            <w:pPr>
              <w:widowControl/>
              <w:spacing w:line="440" w:lineRule="exact"/>
              <w:jc w:val="center"/>
              <w:rPr>
                <w:rFonts w:ascii="宋体" w:hAnsi="宋体" w:cs="宋体"/>
                <w:kern w:val="0"/>
              </w:rPr>
            </w:pPr>
            <w:r>
              <w:rPr>
                <w:rFonts w:hint="eastAsia" w:cs="宋体"/>
                <w:kern w:val="0"/>
                <w:sz w:val="28"/>
                <w:szCs w:val="28"/>
              </w:rPr>
              <w:t>专</w:t>
            </w:r>
          </w:p>
          <w:p>
            <w:pPr>
              <w:widowControl/>
              <w:spacing w:line="440" w:lineRule="exact"/>
              <w:jc w:val="center"/>
              <w:rPr>
                <w:rFonts w:ascii="宋体" w:hAnsi="宋体" w:cs="宋体"/>
                <w:kern w:val="0"/>
              </w:rPr>
            </w:pPr>
            <w:r>
              <w:rPr>
                <w:rFonts w:hint="eastAsia" w:cs="宋体"/>
                <w:kern w:val="0"/>
                <w:sz w:val="28"/>
                <w:szCs w:val="28"/>
              </w:rPr>
              <w:t>业</w:t>
            </w:r>
          </w:p>
          <w:p>
            <w:pPr>
              <w:widowControl/>
              <w:spacing w:line="440" w:lineRule="exact"/>
              <w:jc w:val="center"/>
              <w:rPr>
                <w:rFonts w:ascii="宋体" w:hAnsi="宋体" w:cs="宋体"/>
                <w:kern w:val="0"/>
              </w:rPr>
            </w:pPr>
            <w:r>
              <w:rPr>
                <w:rFonts w:hint="eastAsia" w:cs="宋体"/>
                <w:kern w:val="0"/>
                <w:sz w:val="28"/>
                <w:szCs w:val="28"/>
              </w:rPr>
              <w:t>建</w:t>
            </w:r>
          </w:p>
          <w:p>
            <w:pPr>
              <w:widowControl/>
              <w:spacing w:line="440" w:lineRule="exact"/>
              <w:jc w:val="center"/>
              <w:rPr>
                <w:rFonts w:ascii="宋体" w:hAnsi="宋体" w:cs="宋体"/>
                <w:kern w:val="0"/>
              </w:rPr>
            </w:pPr>
            <w:r>
              <w:rPr>
                <w:rFonts w:hint="eastAsia" w:cs="宋体"/>
                <w:kern w:val="0"/>
                <w:sz w:val="28"/>
                <w:szCs w:val="28"/>
              </w:rPr>
              <w:t>设</w:t>
            </w:r>
          </w:p>
          <w:p>
            <w:pPr>
              <w:widowControl/>
              <w:spacing w:line="440" w:lineRule="exact"/>
              <w:jc w:val="center"/>
              <w:rPr>
                <w:rFonts w:ascii="宋体" w:hAnsi="宋体" w:cs="宋体"/>
                <w:kern w:val="0"/>
              </w:rPr>
            </w:pPr>
            <w:r>
              <w:rPr>
                <w:rFonts w:hint="eastAsia" w:cs="宋体"/>
                <w:kern w:val="0"/>
                <w:sz w:val="28"/>
                <w:szCs w:val="28"/>
              </w:rPr>
              <w:t>指</w:t>
            </w:r>
          </w:p>
          <w:p>
            <w:pPr>
              <w:widowControl/>
              <w:spacing w:line="440" w:lineRule="exact"/>
              <w:jc w:val="center"/>
              <w:rPr>
                <w:rFonts w:ascii="宋体" w:hAnsi="宋体" w:cs="宋体"/>
                <w:kern w:val="0"/>
              </w:rPr>
            </w:pPr>
            <w:r>
              <w:rPr>
                <w:rFonts w:hint="eastAsia" w:cs="宋体"/>
                <w:kern w:val="0"/>
                <w:sz w:val="28"/>
                <w:szCs w:val="28"/>
              </w:rPr>
              <w:t>导</w:t>
            </w:r>
          </w:p>
          <w:p>
            <w:pPr>
              <w:widowControl/>
              <w:spacing w:line="440" w:lineRule="exact"/>
              <w:jc w:val="center"/>
              <w:rPr>
                <w:rFonts w:ascii="宋体" w:hAnsi="宋体" w:cs="宋体"/>
                <w:kern w:val="0"/>
              </w:rPr>
            </w:pPr>
            <w:r>
              <w:rPr>
                <w:rFonts w:hint="eastAsia" w:cs="宋体"/>
                <w:kern w:val="0"/>
                <w:sz w:val="28"/>
                <w:szCs w:val="28"/>
              </w:rPr>
              <w:t>委</w:t>
            </w:r>
          </w:p>
          <w:p>
            <w:pPr>
              <w:widowControl/>
              <w:spacing w:line="440" w:lineRule="exact"/>
              <w:jc w:val="center"/>
              <w:rPr>
                <w:rFonts w:ascii="宋体" w:hAnsi="宋体" w:cs="宋体"/>
                <w:kern w:val="0"/>
              </w:rPr>
            </w:pPr>
            <w:r>
              <w:rPr>
                <w:rFonts w:hint="eastAsia" w:cs="宋体"/>
                <w:kern w:val="0"/>
                <w:sz w:val="28"/>
                <w:szCs w:val="28"/>
              </w:rPr>
              <w:t>员</w:t>
            </w:r>
          </w:p>
          <w:p>
            <w:pPr>
              <w:widowControl/>
              <w:spacing w:line="440" w:lineRule="exact"/>
              <w:jc w:val="center"/>
              <w:rPr>
                <w:rFonts w:ascii="宋体" w:hAnsi="宋体" w:cs="宋体"/>
                <w:kern w:val="0"/>
              </w:rPr>
            </w:pPr>
            <w:r>
              <w:rPr>
                <w:rFonts w:hint="eastAsia" w:cs="宋体"/>
                <w:kern w:val="0"/>
                <w:sz w:val="28"/>
                <w:szCs w:val="28"/>
              </w:rPr>
              <w:t>会</w:t>
            </w:r>
          </w:p>
          <w:p>
            <w:pPr>
              <w:widowControl/>
              <w:spacing w:line="440" w:lineRule="exact"/>
              <w:jc w:val="center"/>
              <w:rPr>
                <w:rFonts w:ascii="宋体" w:hAnsi="宋体" w:cs="宋体"/>
                <w:kern w:val="0"/>
              </w:rPr>
            </w:pPr>
            <w:r>
              <w:rPr>
                <w:rFonts w:hint="eastAsia" w:cs="宋体"/>
                <w:kern w:val="0"/>
                <w:sz w:val="28"/>
                <w:szCs w:val="28"/>
              </w:rPr>
              <w:t>意</w:t>
            </w:r>
          </w:p>
          <w:p>
            <w:pPr>
              <w:widowControl/>
              <w:spacing w:line="440" w:lineRule="exact"/>
              <w:jc w:val="center"/>
              <w:rPr>
                <w:rFonts w:ascii="宋体" w:hAnsi="宋体" w:cs="宋体"/>
                <w:kern w:val="0"/>
              </w:rPr>
            </w:pPr>
            <w:r>
              <w:rPr>
                <w:rFonts w:hint="eastAsia" w:cs="宋体"/>
                <w:kern w:val="0"/>
                <w:sz w:val="28"/>
                <w:szCs w:val="28"/>
              </w:rPr>
              <w:t>见</w:t>
            </w:r>
          </w:p>
        </w:tc>
        <w:tc>
          <w:tcPr>
            <w:tcW w:w="8407" w:type="dxa"/>
            <w:gridSpan w:val="6"/>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专业建设指导委员会主任（签字）：</w:t>
            </w:r>
          </w:p>
          <w:p>
            <w:pPr>
              <w:widowControl/>
              <w:jc w:val="center"/>
              <w:rPr>
                <w:rFonts w:ascii="宋体" w:hAnsi="宋体" w:cs="宋体"/>
                <w:kern w:val="0"/>
              </w:rPr>
            </w:pPr>
            <w:r>
              <w:rPr>
                <w:kern w:val="0"/>
                <w:sz w:val="28"/>
                <w:szCs w:val="28"/>
              </w:rPr>
              <w:t xml:space="preserve">                    </w:t>
            </w:r>
            <w:r>
              <w:rPr>
                <w:rFonts w:hint="eastAsia" w:cs="宋体"/>
                <w:kern w:val="0"/>
                <w:sz w:val="28"/>
                <w:szCs w:val="28"/>
              </w:rPr>
              <w:t>年</w:t>
            </w:r>
            <w:r>
              <w:rPr>
                <w:kern w:val="0"/>
                <w:sz w:val="28"/>
                <w:szCs w:val="28"/>
              </w:rPr>
              <w:t xml:space="preserve">     </w:t>
            </w:r>
            <w:r>
              <w:rPr>
                <w:rFonts w:hint="eastAsia" w:cs="宋体"/>
                <w:kern w:val="0"/>
                <w:sz w:val="28"/>
                <w:szCs w:val="28"/>
              </w:rPr>
              <w:t>月</w:t>
            </w:r>
            <w:r>
              <w:rPr>
                <w:kern w:val="0"/>
                <w:sz w:val="28"/>
                <w:szCs w:val="28"/>
              </w:rPr>
              <w:t xml:space="preserve">    </w:t>
            </w:r>
            <w:r>
              <w:rPr>
                <w:rFonts w:hint="eastAsia" w:cs="宋体"/>
                <w:kern w:val="0"/>
                <w:sz w:val="28"/>
                <w:szCs w:val="28"/>
              </w:rPr>
              <w:t>日</w:t>
            </w:r>
          </w:p>
        </w:tc>
      </w:tr>
    </w:tbl>
    <w:p>
      <w:pPr>
        <w:widowControl/>
        <w:shd w:val="clear" w:color="auto" w:fill="FFFFFF"/>
        <w:jc w:val="center"/>
        <w:rPr>
          <w:rFonts w:ascii="宋体" w:hAnsi="宋体" w:cs="宋体"/>
          <w:kern w:val="0"/>
        </w:rPr>
      </w:pPr>
      <w:r>
        <w:rPr>
          <w:rFonts w:hint="eastAsia" w:cs="宋体"/>
          <w:b/>
          <w:bCs/>
          <w:kern w:val="0"/>
          <w:sz w:val="32"/>
          <w:szCs w:val="32"/>
        </w:rPr>
        <w:t>徽商职业学院专业人才培养方案审批意见</w:t>
      </w:r>
    </w:p>
    <w:tbl>
      <w:tblPr>
        <w:tblStyle w:val="11"/>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1921"/>
        <w:gridCol w:w="1355"/>
        <w:gridCol w:w="1272"/>
        <w:gridCol w:w="1764"/>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restart"/>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ascii="宋体" w:hAnsi="宋体" w:cs="宋体"/>
                <w:kern w:val="0"/>
              </w:rPr>
            </w:pPr>
            <w:r>
              <w:rPr>
                <w:rFonts w:hint="eastAsia" w:cs="宋体"/>
                <w:kern w:val="0"/>
                <w:sz w:val="28"/>
                <w:szCs w:val="28"/>
              </w:rPr>
              <w:t>专业</w:t>
            </w:r>
          </w:p>
          <w:p>
            <w:pPr>
              <w:widowControl/>
              <w:jc w:val="left"/>
              <w:rPr>
                <w:rFonts w:ascii="宋体" w:hAnsi="宋体" w:cs="宋体"/>
                <w:kern w:val="0"/>
              </w:rPr>
            </w:pPr>
            <w:r>
              <w:rPr>
                <w:rFonts w:hint="eastAsia" w:cs="宋体"/>
                <w:kern w:val="0"/>
                <w:sz w:val="28"/>
                <w:szCs w:val="28"/>
              </w:rPr>
              <w:t>人才</w:t>
            </w:r>
          </w:p>
          <w:p>
            <w:pPr>
              <w:widowControl/>
              <w:jc w:val="left"/>
              <w:rPr>
                <w:rFonts w:ascii="宋体" w:hAnsi="宋体" w:cs="宋体"/>
                <w:kern w:val="0"/>
              </w:rPr>
            </w:pPr>
            <w:r>
              <w:rPr>
                <w:rFonts w:hint="eastAsia" w:cs="宋体"/>
                <w:kern w:val="0"/>
                <w:sz w:val="28"/>
                <w:szCs w:val="28"/>
              </w:rPr>
              <w:t>培养</w:t>
            </w:r>
          </w:p>
          <w:p>
            <w:pPr>
              <w:widowControl/>
              <w:jc w:val="left"/>
              <w:rPr>
                <w:rFonts w:ascii="宋体" w:hAnsi="宋体" w:cs="宋体"/>
                <w:kern w:val="0"/>
              </w:rPr>
            </w:pPr>
            <w:r>
              <w:rPr>
                <w:rFonts w:hint="eastAsia" w:cs="宋体"/>
                <w:kern w:val="0"/>
                <w:sz w:val="28"/>
                <w:szCs w:val="28"/>
              </w:rPr>
              <w:t>方案</w:t>
            </w:r>
          </w:p>
          <w:p>
            <w:pPr>
              <w:widowControl/>
              <w:jc w:val="left"/>
              <w:rPr>
                <w:rFonts w:ascii="宋体" w:hAnsi="宋体" w:cs="宋体"/>
                <w:kern w:val="0"/>
              </w:rPr>
            </w:pPr>
            <w:r>
              <w:rPr>
                <w:rFonts w:hint="eastAsia" w:cs="宋体"/>
                <w:kern w:val="0"/>
                <w:sz w:val="28"/>
                <w:szCs w:val="28"/>
              </w:rPr>
              <w:t>主要</w:t>
            </w:r>
          </w:p>
          <w:p>
            <w:pPr>
              <w:widowControl/>
              <w:jc w:val="left"/>
              <w:rPr>
                <w:rFonts w:ascii="宋体" w:hAnsi="宋体" w:cs="宋体"/>
                <w:kern w:val="0"/>
              </w:rPr>
            </w:pPr>
            <w:r>
              <w:rPr>
                <w:rFonts w:hint="eastAsia" w:cs="宋体"/>
                <w:kern w:val="0"/>
                <w:sz w:val="28"/>
                <w:szCs w:val="28"/>
              </w:rPr>
              <w:t>数据</w:t>
            </w: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专业名称</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总学时</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理论课</w:t>
            </w:r>
          </w:p>
          <w:p>
            <w:pPr>
              <w:widowControl/>
              <w:jc w:val="center"/>
              <w:rPr>
                <w:rFonts w:ascii="宋体" w:hAnsi="宋体" w:cs="宋体"/>
                <w:kern w:val="0"/>
              </w:rPr>
            </w:pPr>
            <w:r>
              <w:rPr>
                <w:rFonts w:hint="eastAsia" w:ascii="宋体" w:hAnsi="宋体" w:cs="宋体"/>
                <w:kern w:val="0"/>
              </w:rPr>
              <w:t>总学时</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实践教学占总学时比例（%）</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ascii="宋体" w:hAnsi="宋体" w:cs="宋体"/>
                <w:kern w:val="0"/>
              </w:rPr>
              <w:t>培养方案</w:t>
            </w:r>
          </w:p>
          <w:p>
            <w:pPr>
              <w:widowControl/>
              <w:jc w:val="center"/>
              <w:rPr>
                <w:rFonts w:ascii="宋体" w:hAnsi="宋体" w:cs="宋体"/>
                <w:kern w:val="0"/>
              </w:rPr>
            </w:pPr>
            <w:r>
              <w:rPr>
                <w:rFonts w:hint="eastAsia" w:ascii="宋体" w:hAnsi="宋体" w:cs="宋体"/>
                <w:kern w:val="0"/>
              </w:rPr>
              <w:t>总学分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rPr>
            </w:pPr>
          </w:p>
        </w:tc>
        <w:tc>
          <w:tcPr>
            <w:tcW w:w="1921"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355"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272"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764"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c>
          <w:tcPr>
            <w:tcW w:w="1808"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系部意见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系主任签字（公章）：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rFonts w:hint="eastAsia" w:cs="宋体"/>
                <w:kern w:val="0"/>
                <w:sz w:val="28"/>
                <w:szCs w:val="28"/>
              </w:rPr>
              <w:t>教务处审核意见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sz w:val="32"/>
                <w:szCs w:val="32"/>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cs="宋体"/>
                <w:kern w:val="0"/>
              </w:rPr>
              <w:t>处长签字（公章）：</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2" w:hRule="atLeast"/>
        </w:trPr>
        <w:tc>
          <w:tcPr>
            <w:tcW w:w="919" w:type="dxa"/>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rFonts w:hint="eastAsia" w:cs="宋体"/>
                <w:kern w:val="0"/>
                <w:sz w:val="28"/>
                <w:szCs w:val="28"/>
              </w:rPr>
              <w:t>学院</w:t>
            </w:r>
          </w:p>
          <w:p>
            <w:pPr>
              <w:widowControl/>
              <w:jc w:val="center"/>
              <w:rPr>
                <w:rFonts w:ascii="宋体" w:hAnsi="宋体" w:cs="宋体"/>
                <w:kern w:val="0"/>
              </w:rPr>
            </w:pPr>
            <w:r>
              <w:rPr>
                <w:rFonts w:hint="eastAsia" w:cs="宋体"/>
                <w:kern w:val="0"/>
                <w:sz w:val="28"/>
                <w:szCs w:val="28"/>
              </w:rPr>
              <w:t>审批意见</w:t>
            </w:r>
          </w:p>
        </w:tc>
        <w:tc>
          <w:tcPr>
            <w:tcW w:w="8120" w:type="dxa"/>
            <w:gridSpan w:val="5"/>
            <w:tcBorders>
              <w:top w:val="single" w:color="auto" w:sz="4" w:space="0"/>
              <w:left w:val="single" w:color="auto" w:sz="4" w:space="0"/>
              <w:bottom w:val="single" w:color="auto" w:sz="4" w:space="0"/>
              <w:right w:val="single" w:color="auto" w:sz="4" w:space="0"/>
            </w:tcBorders>
            <w:shd w:val="clear" w:color="auto" w:fill="auto"/>
          </w:tcPr>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sz w:val="28"/>
                <w:szCs w:val="28"/>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w:t>
            </w:r>
          </w:p>
          <w:p>
            <w:pPr>
              <w:widowControl/>
              <w:jc w:val="center"/>
              <w:rPr>
                <w:rFonts w:ascii="宋体" w:hAnsi="宋体" w:cs="宋体"/>
                <w:kern w:val="0"/>
              </w:rPr>
            </w:pPr>
            <w:r>
              <w:rPr>
                <w:kern w:val="0"/>
              </w:rPr>
              <w:t xml:space="preserve">     </w:t>
            </w:r>
            <w:r>
              <w:rPr>
                <w:rFonts w:hint="eastAsia"/>
                <w:kern w:val="0"/>
              </w:rPr>
              <w:t xml:space="preserve">  学</w:t>
            </w:r>
            <w:r>
              <w:rPr>
                <w:rFonts w:hint="eastAsia" w:cs="宋体"/>
                <w:kern w:val="0"/>
              </w:rPr>
              <w:t>院领导签字：</w:t>
            </w:r>
          </w:p>
          <w:p>
            <w:pPr>
              <w:widowControl/>
              <w:jc w:val="center"/>
              <w:rPr>
                <w:rFonts w:ascii="宋体" w:hAnsi="宋体" w:cs="宋体"/>
                <w:kern w:val="0"/>
              </w:rPr>
            </w:pPr>
            <w:r>
              <w:rPr>
                <w:kern w:val="0"/>
              </w:rPr>
              <w:t xml:space="preserve">               </w:t>
            </w:r>
            <w:r>
              <w:rPr>
                <w:rFonts w:hint="eastAsia" w:cs="宋体"/>
                <w:kern w:val="0"/>
              </w:rPr>
              <w:t>年</w:t>
            </w:r>
            <w:r>
              <w:rPr>
                <w:kern w:val="0"/>
              </w:rPr>
              <w:t xml:space="preserve">   </w:t>
            </w:r>
            <w:r>
              <w:rPr>
                <w:rFonts w:hint="eastAsia" w:cs="宋体"/>
                <w:kern w:val="0"/>
              </w:rPr>
              <w:t>月</w:t>
            </w:r>
            <w:r>
              <w:rPr>
                <w:kern w:val="0"/>
              </w:rPr>
              <w:t xml:space="preserve">   </w:t>
            </w:r>
            <w:r>
              <w:rPr>
                <w:rFonts w:hint="eastAsia" w:cs="宋体"/>
                <w:kern w:val="0"/>
              </w:rPr>
              <w:t>日</w:t>
            </w:r>
          </w:p>
        </w:tc>
      </w:tr>
    </w:tbl>
    <w:p/>
    <w:sectPr>
      <w:footerReference r:id="rId5" w:type="default"/>
      <w:pgSz w:w="11906" w:h="16838"/>
      <w:pgMar w:top="1440" w:right="1418" w:bottom="1440" w:left="1418" w:header="851" w:footer="992" w:gutter="0"/>
      <w:pgNumType w:start="28"/>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50" o:spid="_x0000_s2050" o:spt="202" type="#_x0000_t202" style="position:absolute;left:0pt;margin-top:0pt;height:144pt;width:144pt;mso-position-horizontal:center;mso-position-horizontal-relative:margin;mso-wrap-style:none;z-index:2516561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path/>
          <v:fill on="f" focussize="0,0"/>
          <v:stroke on="f" weight="0.5pt" joinstyle="miter"/>
          <v:imagedata o:title=""/>
          <o:lock v:ext="edit"/>
          <v:textbox inset="0mm,0mm,0mm,0mm" style="mso-fit-shape-to-text:t;">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55" o:spid="_x0000_s2055"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28</w:t>
                </w:r>
                <w:r>
                  <w:rPr>
                    <w:rFonts w:hint="eastAsia"/>
                  </w:rPr>
                  <w:fldChar w:fldCharType="end"/>
                </w:r>
              </w:p>
            </w:txbxContent>
          </v:textbox>
        </v:shape>
      </w:pict>
    </w:r>
    <w:r>
      <w:pict>
        <v:shape id="_x0000_s2052" o:spid="_x0000_s2052" o:spt="202" type="#_x0000_t202" style="position:absolute;left:0pt;margin-top:0pt;height:144pt;width:144pt;mso-position-horizontal:center;mso-position-horizontal-relative:margin;mso-wrap-style:none;z-index:2516572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path/>
          <v:fill on="f" focussize="0,0"/>
          <v:stroke on="f" weight="0.5pt" joinstyle="miter"/>
          <v:imagedata o:title=""/>
          <o:lock v:ext="edit"/>
          <v:textbox inset="0mm,0mm,0mm,0mm" style="mso-fit-shape-to-text:t;">
            <w:txbxContent>
              <w:p>
                <w:pPr>
                  <w:snapToGrid w:val="0"/>
                  <w:rPr>
                    <w:rFonts w:eastAsia="宋体"/>
                    <w:sz w:val="18"/>
                  </w:rPr>
                </w:pPr>
                <w:r>
                  <w:rPr>
                    <w:rFonts w:hint="eastAsia" w:eastAsia="宋体"/>
                    <w:sz w:val="18"/>
                  </w:rPr>
                  <w:t>28</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535"/>
        <w:tab w:val="clear" w:pos="4153"/>
      </w:tabs>
    </w:pPr>
    <w:r>
      <w:pict>
        <v:shape id="_x0000_s2056" o:spid="_x0000_s205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pPr>
                <w:r>
                  <w:rPr>
                    <w:rFonts w:hint="eastAsia"/>
                  </w:rPr>
                  <w:fldChar w:fldCharType="begin"/>
                </w:r>
                <w:r>
                  <w:rPr>
                    <w:rFonts w:hint="eastAsia"/>
                  </w:rPr>
                  <w:instrText xml:space="preserve"> PAGE  \* MERGEFORMAT </w:instrText>
                </w:r>
                <w:r>
                  <w:rPr>
                    <w:rFonts w:hint="eastAsia"/>
                  </w:rPr>
                  <w:fldChar w:fldCharType="separate"/>
                </w:r>
                <w:r>
                  <w:t>28</w:t>
                </w:r>
                <w:r>
                  <w:rPr>
                    <w:rFonts w:hint="eastAsia"/>
                  </w:rPr>
                  <w:fldChar w:fldCharType="end"/>
                </w:r>
              </w:p>
            </w:txbxContent>
          </v:textbox>
        </v:shape>
      </w:pict>
    </w:r>
    <w:r>
      <w:pict>
        <v:shape id="_x0000_s2053" o:spid="_x0000_s2053"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path/>
          <v:fill on="f" focussize="0,0"/>
          <v:stroke on="f" weight="0.5pt" joinstyle="miter"/>
          <v:imagedata o:title=""/>
          <o:lock v:ext="edit"/>
          <v:textbox inset="0mm,0mm,0mm,0mm" style="mso-fit-shape-to-text:t;">
            <w:txbxContent>
              <w:p>
                <w:pPr>
                  <w:snapToGrid w:val="0"/>
                  <w:rPr>
                    <w:rFonts w:eastAsia="宋体"/>
                    <w:sz w:val="18"/>
                  </w:rPr>
                </w:pP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EFFD5E"/>
    <w:multiLevelType w:val="singleLevel"/>
    <w:tmpl w:val="5AEFFD5E"/>
    <w:lvl w:ilvl="0" w:tentative="0">
      <w:start w:val="2"/>
      <w:numFmt w:val="chineseCounting"/>
      <w:suff w:val="nothing"/>
      <w:lvlText w:val="%1、"/>
      <w:lvlJc w:val="left"/>
    </w:lvl>
  </w:abstractNum>
  <w:abstractNum w:abstractNumId="1">
    <w:nsid w:val="5AEFFE88"/>
    <w:multiLevelType w:val="singleLevel"/>
    <w:tmpl w:val="5AEFFE88"/>
    <w:lvl w:ilvl="0" w:tentative="0">
      <w:start w:val="5"/>
      <w:numFmt w:val="chineseCounting"/>
      <w:suff w:val="nothing"/>
      <w:lvlText w:val="%1、"/>
      <w:lvlJc w:val="left"/>
    </w:lvl>
  </w:abstractNum>
  <w:abstractNum w:abstractNumId="2">
    <w:nsid w:val="5AF00115"/>
    <w:multiLevelType w:val="singleLevel"/>
    <w:tmpl w:val="5AF00115"/>
    <w:lvl w:ilvl="0" w:tentative="0">
      <w:start w:val="8"/>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bordersDoNotSurroundHeader w:val="1"/>
  <w:bordersDoNotSurroundFooter w:val="1"/>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44214"/>
    <w:rsid w:val="000146A1"/>
    <w:rsid w:val="00066E03"/>
    <w:rsid w:val="000942CE"/>
    <w:rsid w:val="000B0303"/>
    <w:rsid w:val="000B75D5"/>
    <w:rsid w:val="000D3B7C"/>
    <w:rsid w:val="000F46CE"/>
    <w:rsid w:val="00161E2F"/>
    <w:rsid w:val="001817E1"/>
    <w:rsid w:val="0018339B"/>
    <w:rsid w:val="001954DD"/>
    <w:rsid w:val="001969C3"/>
    <w:rsid w:val="001E5231"/>
    <w:rsid w:val="002034D3"/>
    <w:rsid w:val="0023727F"/>
    <w:rsid w:val="0024138D"/>
    <w:rsid w:val="00263281"/>
    <w:rsid w:val="003014C1"/>
    <w:rsid w:val="00313AF3"/>
    <w:rsid w:val="00344214"/>
    <w:rsid w:val="003615BB"/>
    <w:rsid w:val="003659FB"/>
    <w:rsid w:val="003914DF"/>
    <w:rsid w:val="003A7BF5"/>
    <w:rsid w:val="003F14F7"/>
    <w:rsid w:val="00421356"/>
    <w:rsid w:val="00422873"/>
    <w:rsid w:val="004378F6"/>
    <w:rsid w:val="004934B6"/>
    <w:rsid w:val="004A2DD4"/>
    <w:rsid w:val="004C07F7"/>
    <w:rsid w:val="005407AA"/>
    <w:rsid w:val="005820C5"/>
    <w:rsid w:val="0058381D"/>
    <w:rsid w:val="00587701"/>
    <w:rsid w:val="005A6723"/>
    <w:rsid w:val="005A7F61"/>
    <w:rsid w:val="005B2C33"/>
    <w:rsid w:val="005C6159"/>
    <w:rsid w:val="005D19AA"/>
    <w:rsid w:val="005D757A"/>
    <w:rsid w:val="005E33EF"/>
    <w:rsid w:val="00635CDC"/>
    <w:rsid w:val="00670A01"/>
    <w:rsid w:val="006E705E"/>
    <w:rsid w:val="006E79E0"/>
    <w:rsid w:val="0072345F"/>
    <w:rsid w:val="00726B8B"/>
    <w:rsid w:val="007D6D4F"/>
    <w:rsid w:val="007E4701"/>
    <w:rsid w:val="007F13E1"/>
    <w:rsid w:val="00817EBD"/>
    <w:rsid w:val="008610C7"/>
    <w:rsid w:val="0086231A"/>
    <w:rsid w:val="00884A30"/>
    <w:rsid w:val="008A1437"/>
    <w:rsid w:val="008B1171"/>
    <w:rsid w:val="008B6DD5"/>
    <w:rsid w:val="008C25EB"/>
    <w:rsid w:val="008F45A8"/>
    <w:rsid w:val="009249F3"/>
    <w:rsid w:val="00943057"/>
    <w:rsid w:val="00943A3E"/>
    <w:rsid w:val="00947857"/>
    <w:rsid w:val="0095005A"/>
    <w:rsid w:val="0095013B"/>
    <w:rsid w:val="00982C23"/>
    <w:rsid w:val="009960D4"/>
    <w:rsid w:val="009A171E"/>
    <w:rsid w:val="00A31CE2"/>
    <w:rsid w:val="00A83FD1"/>
    <w:rsid w:val="00A84730"/>
    <w:rsid w:val="00A8738B"/>
    <w:rsid w:val="00AC57CD"/>
    <w:rsid w:val="00B01BC4"/>
    <w:rsid w:val="00B0411C"/>
    <w:rsid w:val="00B0799E"/>
    <w:rsid w:val="00C4458A"/>
    <w:rsid w:val="00C4588A"/>
    <w:rsid w:val="00C67B73"/>
    <w:rsid w:val="00C758BF"/>
    <w:rsid w:val="00C865E0"/>
    <w:rsid w:val="00C90292"/>
    <w:rsid w:val="00CA3CEE"/>
    <w:rsid w:val="00CB2B0F"/>
    <w:rsid w:val="00CB5D79"/>
    <w:rsid w:val="00CE6535"/>
    <w:rsid w:val="00D31162"/>
    <w:rsid w:val="00D33957"/>
    <w:rsid w:val="00DA0A08"/>
    <w:rsid w:val="00DA244D"/>
    <w:rsid w:val="00DF1693"/>
    <w:rsid w:val="00E05C84"/>
    <w:rsid w:val="00E13DBD"/>
    <w:rsid w:val="00E2010B"/>
    <w:rsid w:val="00E51E14"/>
    <w:rsid w:val="00E81D02"/>
    <w:rsid w:val="00EB04BD"/>
    <w:rsid w:val="00ED1973"/>
    <w:rsid w:val="00ED5076"/>
    <w:rsid w:val="00EF661D"/>
    <w:rsid w:val="00F15753"/>
    <w:rsid w:val="00F21DAE"/>
    <w:rsid w:val="00F63320"/>
    <w:rsid w:val="00FA6756"/>
    <w:rsid w:val="00FB0DD2"/>
    <w:rsid w:val="00FE422F"/>
    <w:rsid w:val="00FE6B91"/>
    <w:rsid w:val="023A3FB1"/>
    <w:rsid w:val="02B30963"/>
    <w:rsid w:val="03900591"/>
    <w:rsid w:val="0A514C81"/>
    <w:rsid w:val="0B7A1421"/>
    <w:rsid w:val="0DD76BF2"/>
    <w:rsid w:val="0DDC1A15"/>
    <w:rsid w:val="0EAB509A"/>
    <w:rsid w:val="10B731B1"/>
    <w:rsid w:val="128F4AAE"/>
    <w:rsid w:val="12CC68E1"/>
    <w:rsid w:val="12DC6933"/>
    <w:rsid w:val="14F94854"/>
    <w:rsid w:val="159C3858"/>
    <w:rsid w:val="15CC1CDF"/>
    <w:rsid w:val="16841CCE"/>
    <w:rsid w:val="1730090A"/>
    <w:rsid w:val="1ADC5A46"/>
    <w:rsid w:val="1AE62A67"/>
    <w:rsid w:val="22B6520F"/>
    <w:rsid w:val="240A285E"/>
    <w:rsid w:val="24DF2AA5"/>
    <w:rsid w:val="25937586"/>
    <w:rsid w:val="25B67237"/>
    <w:rsid w:val="26CB11B5"/>
    <w:rsid w:val="28B302AF"/>
    <w:rsid w:val="294938E1"/>
    <w:rsid w:val="294B4D12"/>
    <w:rsid w:val="295F549A"/>
    <w:rsid w:val="298B3C70"/>
    <w:rsid w:val="2A014E91"/>
    <w:rsid w:val="2A4C3B0A"/>
    <w:rsid w:val="2A7D4B76"/>
    <w:rsid w:val="2A831603"/>
    <w:rsid w:val="2A8609DD"/>
    <w:rsid w:val="2A8B53D7"/>
    <w:rsid w:val="2B317D14"/>
    <w:rsid w:val="2C2A7FC4"/>
    <w:rsid w:val="2DA9177C"/>
    <w:rsid w:val="2E052CF9"/>
    <w:rsid w:val="2F155205"/>
    <w:rsid w:val="320B37B2"/>
    <w:rsid w:val="34013646"/>
    <w:rsid w:val="34037DA7"/>
    <w:rsid w:val="341A5329"/>
    <w:rsid w:val="39555CA2"/>
    <w:rsid w:val="39BB0F11"/>
    <w:rsid w:val="39F0764B"/>
    <w:rsid w:val="3A2763CA"/>
    <w:rsid w:val="3C2E2809"/>
    <w:rsid w:val="3CC443FC"/>
    <w:rsid w:val="3E3216E3"/>
    <w:rsid w:val="3E606E94"/>
    <w:rsid w:val="3ED06D91"/>
    <w:rsid w:val="3ED97CB9"/>
    <w:rsid w:val="3FC25858"/>
    <w:rsid w:val="40BB1DCE"/>
    <w:rsid w:val="41C9331A"/>
    <w:rsid w:val="41DE1991"/>
    <w:rsid w:val="42687B79"/>
    <w:rsid w:val="42C42EC3"/>
    <w:rsid w:val="453E108F"/>
    <w:rsid w:val="46E16436"/>
    <w:rsid w:val="4764189D"/>
    <w:rsid w:val="497C2CAF"/>
    <w:rsid w:val="499B6D55"/>
    <w:rsid w:val="4A3322D3"/>
    <w:rsid w:val="4B472105"/>
    <w:rsid w:val="4D031314"/>
    <w:rsid w:val="4EE270E4"/>
    <w:rsid w:val="4FAC5BD6"/>
    <w:rsid w:val="52DF7A93"/>
    <w:rsid w:val="538E7F92"/>
    <w:rsid w:val="55341587"/>
    <w:rsid w:val="555A2E88"/>
    <w:rsid w:val="584F41C1"/>
    <w:rsid w:val="58736970"/>
    <w:rsid w:val="589B7B75"/>
    <w:rsid w:val="5ACF4227"/>
    <w:rsid w:val="5F3D3501"/>
    <w:rsid w:val="60024CD2"/>
    <w:rsid w:val="6443563D"/>
    <w:rsid w:val="658B3E9F"/>
    <w:rsid w:val="695A72B2"/>
    <w:rsid w:val="69AB420D"/>
    <w:rsid w:val="6CA972E1"/>
    <w:rsid w:val="6E845641"/>
    <w:rsid w:val="6FA807F6"/>
    <w:rsid w:val="72EE1A33"/>
    <w:rsid w:val="73CA12FD"/>
    <w:rsid w:val="7480551D"/>
    <w:rsid w:val="765D354E"/>
    <w:rsid w:val="76742608"/>
    <w:rsid w:val="777D3300"/>
    <w:rsid w:val="7A1C452B"/>
    <w:rsid w:val="7D9551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仿宋" w:cs="Times New Roman"/>
      <w:kern w:val="2"/>
      <w:sz w:val="24"/>
      <w:szCs w:val="24"/>
      <w:lang w:val="en-US" w:eastAsia="zh-CN" w:bidi="ar-SA"/>
    </w:rPr>
  </w:style>
  <w:style w:type="paragraph" w:styleId="2">
    <w:name w:val="heading 1"/>
    <w:basedOn w:val="1"/>
    <w:next w:val="1"/>
    <w:link w:val="12"/>
    <w:qFormat/>
    <w:uiPriority w:val="0"/>
    <w:pPr>
      <w:keepNext/>
      <w:keepLines/>
      <w:spacing w:before="340" w:after="330" w:line="576" w:lineRule="auto"/>
      <w:jc w:val="left"/>
      <w:outlineLvl w:val="0"/>
    </w:pPr>
    <w:rPr>
      <w:rFonts w:eastAsia="宋体"/>
      <w:b/>
      <w:kern w:val="44"/>
      <w:sz w:val="28"/>
    </w:rPr>
  </w:style>
  <w:style w:type="paragraph" w:styleId="3">
    <w:name w:val="heading 2"/>
    <w:basedOn w:val="1"/>
    <w:next w:val="1"/>
    <w:link w:val="16"/>
    <w:unhideWhenUsed/>
    <w:qFormat/>
    <w:uiPriority w:val="0"/>
    <w:pPr>
      <w:keepNext/>
      <w:keepLines/>
      <w:spacing w:before="260" w:after="260" w:line="413" w:lineRule="auto"/>
      <w:outlineLvl w:val="1"/>
    </w:pPr>
    <w:rPr>
      <w:rFonts w:ascii="Arial" w:hAnsi="Arial" w:eastAsia="黑体"/>
    </w:rPr>
  </w:style>
  <w:style w:type="paragraph" w:styleId="4">
    <w:name w:val="heading 3"/>
    <w:basedOn w:val="1"/>
    <w:next w:val="1"/>
    <w:link w:val="19"/>
    <w:unhideWhenUsed/>
    <w:qFormat/>
    <w:uiPriority w:val="0"/>
    <w:pPr>
      <w:keepNext/>
      <w:keepLines/>
      <w:spacing w:before="260" w:after="260" w:line="413" w:lineRule="auto"/>
      <w:outlineLvl w:val="2"/>
    </w:pPr>
    <w:rPr>
      <w:rFonts w:eastAsia="楷体"/>
    </w:rPr>
  </w:style>
  <w:style w:type="character" w:default="1" w:styleId="8">
    <w:name w:val="Default Paragraph Font"/>
    <w:semiHidden/>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22"/>
    <w:semiHidden/>
    <w:unhideWhenUsed/>
    <w:uiPriority w:val="99"/>
    <w:pPr>
      <w:spacing w:line="240" w:lineRule="auto"/>
    </w:pPr>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FollowedHyperlink"/>
    <w:basedOn w:val="8"/>
    <w:semiHidden/>
    <w:unhideWhenUsed/>
    <w:qFormat/>
    <w:uiPriority w:val="99"/>
    <w:rPr>
      <w:color w:val="800080"/>
      <w:u w:val="single"/>
    </w:rPr>
  </w:style>
  <w:style w:type="character" w:styleId="10">
    <w:name w:val="Hyperlink"/>
    <w:basedOn w:val="8"/>
    <w:semiHidden/>
    <w:unhideWhenUsed/>
    <w:qFormat/>
    <w:uiPriority w:val="99"/>
    <w:rPr>
      <w:color w:val="0000FF"/>
      <w:u w:val="single"/>
    </w:rPr>
  </w:style>
  <w:style w:type="character" w:customStyle="1" w:styleId="12">
    <w:name w:val="标题 1 字符"/>
    <w:link w:val="2"/>
    <w:qFormat/>
    <w:uiPriority w:val="0"/>
    <w:rPr>
      <w:rFonts w:eastAsia="宋体"/>
      <w:b/>
      <w:kern w:val="44"/>
      <w:sz w:val="28"/>
    </w:rPr>
  </w:style>
  <w:style w:type="character" w:customStyle="1" w:styleId="13">
    <w:name w:val="页眉 字符"/>
    <w:basedOn w:val="8"/>
    <w:link w:val="7"/>
    <w:qFormat/>
    <w:uiPriority w:val="99"/>
    <w:rPr>
      <w:kern w:val="2"/>
      <w:sz w:val="18"/>
      <w:szCs w:val="18"/>
    </w:rPr>
  </w:style>
  <w:style w:type="character" w:customStyle="1" w:styleId="14">
    <w:name w:val="页脚 字符"/>
    <w:basedOn w:val="8"/>
    <w:link w:val="6"/>
    <w:qFormat/>
    <w:uiPriority w:val="99"/>
    <w:rPr>
      <w:kern w:val="2"/>
      <w:sz w:val="18"/>
      <w:szCs w:val="18"/>
    </w:rPr>
  </w:style>
  <w:style w:type="paragraph" w:customStyle="1" w:styleId="15">
    <w:name w:val="reader-word-layer"/>
    <w:basedOn w:val="1"/>
    <w:qFormat/>
    <w:uiPriority w:val="0"/>
    <w:pPr>
      <w:widowControl/>
      <w:spacing w:before="100" w:beforeAutospacing="1" w:after="100" w:afterAutospacing="1"/>
      <w:jc w:val="left"/>
    </w:pPr>
    <w:rPr>
      <w:rFonts w:ascii="宋体" w:hAnsi="宋体" w:cs="宋体"/>
      <w:kern w:val="0"/>
    </w:rPr>
  </w:style>
  <w:style w:type="character" w:customStyle="1" w:styleId="16">
    <w:name w:val="标题 2 字符"/>
    <w:link w:val="3"/>
    <w:qFormat/>
    <w:uiPriority w:val="0"/>
    <w:rPr>
      <w:rFonts w:ascii="Arial" w:hAnsi="Arial" w:eastAsia="黑体"/>
      <w:sz w:val="24"/>
    </w:rPr>
  </w:style>
  <w:style w:type="character" w:customStyle="1" w:styleId="17">
    <w:name w:val="font41"/>
    <w:basedOn w:val="8"/>
    <w:qFormat/>
    <w:uiPriority w:val="0"/>
    <w:rPr>
      <w:rFonts w:hint="eastAsia" w:ascii="宋体" w:hAnsi="宋体" w:eastAsia="宋体" w:cs="宋体"/>
      <w:color w:val="000000"/>
      <w:sz w:val="16"/>
      <w:szCs w:val="16"/>
      <w:u w:val="none"/>
    </w:rPr>
  </w:style>
  <w:style w:type="character" w:customStyle="1" w:styleId="18">
    <w:name w:val="font31"/>
    <w:basedOn w:val="8"/>
    <w:qFormat/>
    <w:uiPriority w:val="0"/>
    <w:rPr>
      <w:rFonts w:hint="default" w:ascii="Times New Roman" w:hAnsi="Times New Roman" w:cs="Times New Roman"/>
      <w:color w:val="000000"/>
      <w:sz w:val="16"/>
      <w:szCs w:val="16"/>
      <w:u w:val="none"/>
    </w:rPr>
  </w:style>
  <w:style w:type="character" w:customStyle="1" w:styleId="19">
    <w:name w:val="标题 3 字符"/>
    <w:link w:val="4"/>
    <w:qFormat/>
    <w:uiPriority w:val="0"/>
    <w:rPr>
      <w:rFonts w:eastAsia="楷体"/>
    </w:rPr>
  </w:style>
  <w:style w:type="paragraph" w:customStyle="1" w:styleId="20">
    <w:name w:val="标题0"/>
    <w:basedOn w:val="3"/>
    <w:qFormat/>
    <w:uiPriority w:val="0"/>
    <w:pPr>
      <w:jc w:val="center"/>
    </w:pPr>
    <w:rPr>
      <w:rFonts w:eastAsia="宋体"/>
      <w:b/>
      <w:sz w:val="36"/>
    </w:rPr>
  </w:style>
  <w:style w:type="paragraph" w:customStyle="1" w:styleId="21">
    <w:name w:val="2"/>
    <w:basedOn w:val="1"/>
    <w:uiPriority w:val="0"/>
    <w:pPr>
      <w:spacing w:beforeLines="50" w:afterLines="50" w:line="400" w:lineRule="exact"/>
      <w:ind w:firstLine="562" w:firstLineChars="200"/>
    </w:pPr>
    <w:rPr>
      <w:rFonts w:hAnsi="宋体" w:eastAsia="宋体"/>
      <w:b/>
      <w:bCs/>
      <w:sz w:val="28"/>
      <w:szCs w:val="28"/>
    </w:rPr>
  </w:style>
  <w:style w:type="character" w:customStyle="1" w:styleId="22">
    <w:name w:val="批注框文本 字符"/>
    <w:basedOn w:val="8"/>
    <w:link w:val="5"/>
    <w:semiHidden/>
    <w:qFormat/>
    <w:uiPriority w:val="99"/>
    <w:rPr>
      <w:rFonts w:eastAsia="仿宋"/>
      <w:kern w:val="2"/>
      <w:sz w:val="18"/>
      <w:szCs w:val="18"/>
    </w:rPr>
  </w:style>
  <w:style w:type="paragraph" w:customStyle="1" w:styleId="23">
    <w:name w:val="font5"/>
    <w:basedOn w:val="1"/>
    <w:qFormat/>
    <w:uiPriority w:val="0"/>
    <w:pPr>
      <w:widowControl/>
      <w:spacing w:before="100" w:beforeAutospacing="1" w:after="100" w:afterAutospacing="1" w:line="240" w:lineRule="auto"/>
      <w:jc w:val="left"/>
    </w:pPr>
    <w:rPr>
      <w:rFonts w:ascii="宋体" w:hAnsi="宋体" w:eastAsia="宋体" w:cs="宋体"/>
      <w:kern w:val="0"/>
      <w:sz w:val="18"/>
      <w:szCs w:val="18"/>
    </w:rPr>
  </w:style>
  <w:style w:type="paragraph" w:customStyle="1" w:styleId="24">
    <w:name w:val="font6"/>
    <w:basedOn w:val="1"/>
    <w:qFormat/>
    <w:uiPriority w:val="0"/>
    <w:pPr>
      <w:widowControl/>
      <w:spacing w:before="100" w:beforeAutospacing="1" w:after="100" w:afterAutospacing="1" w:line="240" w:lineRule="auto"/>
      <w:jc w:val="left"/>
    </w:pPr>
    <w:rPr>
      <w:rFonts w:eastAsia="宋体"/>
      <w:kern w:val="0"/>
      <w:sz w:val="16"/>
      <w:szCs w:val="16"/>
    </w:rPr>
  </w:style>
  <w:style w:type="paragraph" w:customStyle="1" w:styleId="25">
    <w:name w:val="font7"/>
    <w:basedOn w:val="1"/>
    <w:qFormat/>
    <w:uiPriority w:val="0"/>
    <w:pPr>
      <w:widowControl/>
      <w:spacing w:before="100" w:beforeAutospacing="1" w:after="100" w:afterAutospacing="1" w:line="240" w:lineRule="auto"/>
      <w:jc w:val="left"/>
    </w:pPr>
    <w:rPr>
      <w:rFonts w:ascii="宋体" w:hAnsi="宋体" w:eastAsia="宋体" w:cs="宋体"/>
      <w:kern w:val="0"/>
      <w:sz w:val="16"/>
      <w:szCs w:val="16"/>
    </w:rPr>
  </w:style>
  <w:style w:type="paragraph" w:customStyle="1" w:styleId="26">
    <w:name w:val="font8"/>
    <w:basedOn w:val="1"/>
    <w:qFormat/>
    <w:uiPriority w:val="0"/>
    <w:pPr>
      <w:widowControl/>
      <w:spacing w:before="100" w:beforeAutospacing="1" w:after="100" w:afterAutospacing="1" w:line="240" w:lineRule="auto"/>
      <w:jc w:val="left"/>
    </w:pPr>
    <w:rPr>
      <w:rFonts w:ascii="宋体" w:hAnsi="宋体" w:eastAsia="宋体" w:cs="宋体"/>
      <w:kern w:val="0"/>
      <w:sz w:val="18"/>
      <w:szCs w:val="18"/>
    </w:rPr>
  </w:style>
  <w:style w:type="paragraph" w:customStyle="1" w:styleId="2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28">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29">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0">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4">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3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3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3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3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39">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0">
    <w:name w:val="xl79"/>
    <w:basedOn w:val="1"/>
    <w:qFormat/>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1">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kern w:val="0"/>
      <w:sz w:val="18"/>
      <w:szCs w:val="18"/>
    </w:rPr>
  </w:style>
  <w:style w:type="paragraph" w:customStyle="1" w:styleId="42">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color w:val="000000"/>
      <w:kern w:val="0"/>
      <w:sz w:val="18"/>
      <w:szCs w:val="18"/>
    </w:rPr>
  </w:style>
  <w:style w:type="paragraph" w:customStyle="1" w:styleId="4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5">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6">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20"/>
      <w:szCs w:val="20"/>
    </w:rPr>
  </w:style>
  <w:style w:type="paragraph" w:customStyle="1" w:styleId="47">
    <w:name w:val="xl86"/>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8">
    <w:name w:val="xl87"/>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49">
    <w:name w:val="xl88"/>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50">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textAlignment w:val="center"/>
    </w:pPr>
    <w:rPr>
      <w:rFonts w:ascii="宋体" w:hAnsi="宋体" w:eastAsia="宋体" w:cs="宋体"/>
      <w:kern w:val="0"/>
      <w:sz w:val="18"/>
      <w:szCs w:val="18"/>
    </w:rPr>
  </w:style>
  <w:style w:type="paragraph" w:customStyle="1" w:styleId="51">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left"/>
    </w:pPr>
    <w:rPr>
      <w:rFonts w:ascii="宋体" w:hAnsi="宋体" w:eastAsia="宋体" w:cs="宋体"/>
      <w:kern w:val="0"/>
      <w:sz w:val="18"/>
      <w:szCs w:val="18"/>
    </w:rPr>
  </w:style>
  <w:style w:type="paragraph" w:customStyle="1" w:styleId="52">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53">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54">
    <w:name w:val="xl93"/>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5">
    <w:name w:val="xl9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6">
    <w:name w:val="xl95"/>
    <w:basedOn w:val="1"/>
    <w:qFormat/>
    <w:uiPriority w:val="0"/>
    <w:pPr>
      <w:widowControl/>
      <w:pBdr>
        <w:top w:val="single" w:color="auto" w:sz="4" w:space="0"/>
        <w:left w:val="single" w:color="auto" w:sz="4" w:space="0"/>
        <w:bottom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7">
    <w:name w:val="xl96"/>
    <w:basedOn w:val="1"/>
    <w:qFormat/>
    <w:uiPriority w:val="0"/>
    <w:pPr>
      <w:widowControl/>
      <w:pBdr>
        <w:top w:val="single" w:color="auto" w:sz="4" w:space="0"/>
        <w:bottom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8">
    <w:name w:val="xl97"/>
    <w:basedOn w:val="1"/>
    <w:qFormat/>
    <w:uiPriority w:val="0"/>
    <w:pPr>
      <w:widowControl/>
      <w:pBdr>
        <w:top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59">
    <w:name w:val="xl98"/>
    <w:basedOn w:val="1"/>
    <w:qFormat/>
    <w:uiPriority w:val="0"/>
    <w:pPr>
      <w:widowControl/>
      <w:pBdr>
        <w:top w:val="single" w:color="auto" w:sz="4" w:space="0"/>
        <w:left w:val="single" w:color="auto" w:sz="4" w:space="0"/>
        <w:bottom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0">
    <w:name w:val="xl99"/>
    <w:basedOn w:val="1"/>
    <w:qFormat/>
    <w:uiPriority w:val="0"/>
    <w:pPr>
      <w:widowControl/>
      <w:pBdr>
        <w:top w:val="single" w:color="auto" w:sz="4" w:space="0"/>
        <w:bottom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1">
    <w:name w:val="xl100"/>
    <w:basedOn w:val="1"/>
    <w:qFormat/>
    <w:uiPriority w:val="0"/>
    <w:pPr>
      <w:widowControl/>
      <w:pBdr>
        <w:top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2">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8DB4E3"/>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3">
    <w:name w:val="xl102"/>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4">
    <w:name w:val="xl103"/>
    <w:basedOn w:val="1"/>
    <w:qFormat/>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5">
    <w:name w:val="xl104"/>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6">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E6B9B8"/>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67">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68">
    <w:name w:val="xl107"/>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left"/>
      <w:textAlignment w:val="center"/>
    </w:pPr>
    <w:rPr>
      <w:rFonts w:eastAsia="宋体"/>
      <w:kern w:val="0"/>
      <w:sz w:val="16"/>
      <w:szCs w:val="16"/>
    </w:rPr>
  </w:style>
  <w:style w:type="paragraph" w:customStyle="1" w:styleId="69">
    <w:name w:val="xl108"/>
    <w:basedOn w:val="1"/>
    <w:qFormat/>
    <w:uiPriority w:val="0"/>
    <w:pPr>
      <w:widowControl/>
      <w:pBdr>
        <w:top w:val="single" w:color="auto" w:sz="4" w:space="0"/>
        <w:bottom w:val="single" w:color="auto" w:sz="4" w:space="0"/>
      </w:pBdr>
      <w:spacing w:before="100" w:beforeAutospacing="1" w:after="100" w:afterAutospacing="1" w:line="240" w:lineRule="auto"/>
      <w:jc w:val="left"/>
      <w:textAlignment w:val="center"/>
    </w:pPr>
    <w:rPr>
      <w:rFonts w:eastAsia="宋体"/>
      <w:kern w:val="0"/>
      <w:sz w:val="16"/>
      <w:szCs w:val="16"/>
    </w:rPr>
  </w:style>
  <w:style w:type="paragraph" w:customStyle="1" w:styleId="70">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left"/>
      <w:textAlignment w:val="center"/>
    </w:pPr>
    <w:rPr>
      <w:rFonts w:eastAsia="宋体"/>
      <w:kern w:val="0"/>
      <w:sz w:val="16"/>
      <w:szCs w:val="16"/>
    </w:rPr>
  </w:style>
  <w:style w:type="paragraph" w:customStyle="1" w:styleId="71">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2">
    <w:name w:val="xl111"/>
    <w:basedOn w:val="1"/>
    <w:qFormat/>
    <w:uiPriority w:val="0"/>
    <w:pPr>
      <w:widowControl/>
      <w:pBdr>
        <w:top w:val="single" w:color="auto" w:sz="4" w:space="0"/>
        <w:lef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3">
    <w:name w:val="xl112"/>
    <w:basedOn w:val="1"/>
    <w:qFormat/>
    <w:uiPriority w:val="0"/>
    <w:pPr>
      <w:widowControl/>
      <w:pBdr>
        <w:lef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4">
    <w:name w:val="xl113"/>
    <w:basedOn w:val="1"/>
    <w:qFormat/>
    <w:uiPriority w:val="0"/>
    <w:pPr>
      <w:widowControl/>
      <w:pBdr>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5">
    <w:name w:val="xl114"/>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6">
    <w:name w:val="xl115"/>
    <w:basedOn w:val="1"/>
    <w:qFormat/>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7">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78">
    <w:name w:val="xl117"/>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79">
    <w:name w:val="xl11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0">
    <w:name w:val="xl11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1">
    <w:name w:val="xl120"/>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2">
    <w:name w:val="xl121"/>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3">
    <w:name w:val="xl122"/>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4">
    <w:name w:val="xl123"/>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5">
    <w:name w:val="xl124"/>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6">
    <w:name w:val="xl125"/>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7">
    <w:name w:val="xl126"/>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8">
    <w:name w:val="xl127"/>
    <w:basedOn w:val="1"/>
    <w:uiPriority w:val="0"/>
    <w:pPr>
      <w:widowControl/>
      <w:pBdr>
        <w:top w:val="single" w:color="auto" w:sz="4" w:space="0"/>
        <w:lef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89">
    <w:name w:val="xl128"/>
    <w:basedOn w:val="1"/>
    <w:uiPriority w:val="0"/>
    <w:pPr>
      <w:widowControl/>
      <w:pBdr>
        <w:top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0">
    <w:name w:val="xl129"/>
    <w:basedOn w:val="1"/>
    <w:uiPriority w:val="0"/>
    <w:pPr>
      <w:widowControl/>
      <w:pBdr>
        <w:lef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1">
    <w:name w:val="xl130"/>
    <w:basedOn w:val="1"/>
    <w:uiPriority w:val="0"/>
    <w:pPr>
      <w:widowControl/>
      <w:pBdr>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2">
    <w:name w:val="xl131"/>
    <w:basedOn w:val="1"/>
    <w:uiPriority w:val="0"/>
    <w:pPr>
      <w:widowControl/>
      <w:pBdr>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3">
    <w:name w:val="xl132"/>
    <w:basedOn w:val="1"/>
    <w:uiPriority w:val="0"/>
    <w:pPr>
      <w:widowControl/>
      <w:pBdr>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4">
    <w:name w:val="xl1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宋体" w:hAnsi="宋体" w:eastAsia="宋体" w:cs="宋体"/>
      <w:kern w:val="0"/>
    </w:rPr>
  </w:style>
  <w:style w:type="paragraph" w:customStyle="1" w:styleId="95">
    <w:name w:val="xl1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6">
    <w:name w:val="xl135"/>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7">
    <w:name w:val="xl136"/>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6"/>
      <w:szCs w:val="16"/>
    </w:rPr>
  </w:style>
  <w:style w:type="paragraph" w:customStyle="1" w:styleId="98">
    <w:name w:val="xl137"/>
    <w:basedOn w:val="1"/>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99">
    <w:name w:val="xl138"/>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100">
    <w:name w:val="xl139"/>
    <w:basedOn w:val="1"/>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18"/>
      <w:szCs w:val="18"/>
    </w:rPr>
  </w:style>
  <w:style w:type="paragraph" w:customStyle="1" w:styleId="101">
    <w:name w:val="xl140"/>
    <w:basedOn w:val="1"/>
    <w:uiPriority w:val="0"/>
    <w:pPr>
      <w:widowControl/>
      <w:pBdr>
        <w:top w:val="single" w:color="auto" w:sz="4" w:space="0"/>
        <w:left w:val="single" w:color="auto" w:sz="4" w:space="0"/>
        <w:bottom w:val="single" w:color="auto" w:sz="4" w:space="0"/>
      </w:pBdr>
      <w:shd w:val="clear" w:color="000000" w:fill="DDD9C3"/>
      <w:spacing w:before="100" w:beforeAutospacing="1" w:after="100" w:afterAutospacing="1" w:line="240" w:lineRule="auto"/>
      <w:jc w:val="left"/>
      <w:textAlignment w:val="center"/>
    </w:pPr>
    <w:rPr>
      <w:rFonts w:ascii="宋体" w:hAnsi="宋体" w:eastAsia="宋体" w:cs="宋体"/>
      <w:kern w:val="0"/>
      <w:sz w:val="16"/>
      <w:szCs w:val="16"/>
    </w:rPr>
  </w:style>
  <w:style w:type="paragraph" w:customStyle="1" w:styleId="102">
    <w:name w:val="xl141"/>
    <w:basedOn w:val="1"/>
    <w:uiPriority w:val="0"/>
    <w:pPr>
      <w:widowControl/>
      <w:pBdr>
        <w:top w:val="single" w:color="auto" w:sz="4" w:space="0"/>
        <w:left w:val="single" w:color="auto" w:sz="4" w:space="0"/>
        <w:bottom w:val="single" w:color="auto" w:sz="4" w:space="0"/>
        <w:right w:val="single" w:color="auto" w:sz="4" w:space="0"/>
      </w:pBdr>
      <w:shd w:val="clear" w:color="000000" w:fill="DDD9C3"/>
      <w:spacing w:before="100" w:beforeAutospacing="1" w:after="100" w:afterAutospacing="1" w:line="240" w:lineRule="auto"/>
      <w:jc w:val="left"/>
      <w:textAlignment w:val="center"/>
    </w:pPr>
    <w:rPr>
      <w:rFonts w:ascii="宋体" w:hAnsi="宋体" w:eastAsia="宋体" w:cs="宋体"/>
      <w:kern w:val="0"/>
      <w:sz w:val="16"/>
      <w:szCs w:val="16"/>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0.jpe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55"/>
    <customShpInfo spid="_x0000_s2052"/>
    <customShpInfo spid="_x0000_s2056"/>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8B2A46-143A-4E88-AD1C-5D72A1551E8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28</Pages>
  <Words>1775</Words>
  <Characters>10118</Characters>
  <Lines>84</Lines>
  <Paragraphs>23</Paragraphs>
  <TotalTime>12</TotalTime>
  <ScaleCrop>false</ScaleCrop>
  <LinksUpToDate>false</LinksUpToDate>
  <CharactersWithSpaces>11870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2016-09-07T00:55:00Z</dcterms:created>
  <dc:creator>USER</dc:creator>
  <cp:lastModifiedBy>laneplayer</cp:lastModifiedBy>
  <cp:lastPrinted>2018-05-26T02:51:00Z</cp:lastPrinted>
  <dcterms:modified xsi:type="dcterms:W3CDTF">2018-07-30T03:23:20Z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