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ascii="宋体" w:hAnsi="宋体" w:cs="宋体"/>
          <w:kern w:val="0"/>
        </w:rPr>
      </w:pPr>
      <w:r>
        <w:rPr>
          <w:rFonts w:hint="eastAsia" w:ascii="宋体" w:hAnsi="宋体" w:cs="宋体"/>
          <w:bCs/>
        </w:rPr>
        <w:t>2019级电子商务专业人才培养方案</w:t>
      </w:r>
      <w:r>
        <w:rPr>
          <w:rFonts w:hint="eastAsia" w:ascii="宋体" w:hAnsi="宋体" w:cs="宋体"/>
          <w:kern w:val="0"/>
          <w:szCs w:val="36"/>
        </w:rPr>
        <w:t> </w:t>
      </w:r>
    </w:p>
    <w:p>
      <w:pPr>
        <w:pStyle w:val="2"/>
        <w:spacing w:line="360" w:lineRule="auto"/>
        <w:ind w:firstLine="281" w:firstLineChars="100"/>
      </w:pPr>
      <w:r>
        <w:rPr>
          <w:rFonts w:hint="eastAsia"/>
        </w:rPr>
        <w:t>一、专业名称及代码</w:t>
      </w:r>
    </w:p>
    <w:p>
      <w:pPr>
        <w:widowControl/>
        <w:shd w:val="clear" w:color="auto" w:fill="FFFFFF"/>
        <w:ind w:firstLine="480" w:firstLineChars="200"/>
        <w:jc w:val="left"/>
        <w:rPr>
          <w:rFonts w:ascii="仿宋" w:hAnsi="仿宋" w:cs="宋体"/>
          <w:kern w:val="0"/>
        </w:rPr>
      </w:pPr>
      <w:r>
        <w:rPr>
          <w:rFonts w:hint="eastAsia" w:ascii="仿宋" w:hAnsi="仿宋" w:cs="宋体"/>
          <w:kern w:val="0"/>
        </w:rPr>
        <w:t>专业名称：电子商务</w:t>
      </w:r>
    </w:p>
    <w:p>
      <w:pPr>
        <w:widowControl/>
        <w:shd w:val="clear" w:color="auto" w:fill="FFFFFF"/>
        <w:ind w:firstLine="480" w:firstLineChars="200"/>
        <w:jc w:val="left"/>
        <w:rPr>
          <w:rFonts w:ascii="仿宋" w:hAnsi="仿宋" w:cs="宋体"/>
          <w:kern w:val="0"/>
        </w:rPr>
      </w:pPr>
      <w:r>
        <w:rPr>
          <w:rFonts w:hint="eastAsia" w:ascii="仿宋" w:hAnsi="仿宋" w:cs="宋体"/>
          <w:kern w:val="0"/>
        </w:rPr>
        <w:t>专业代码：</w:t>
      </w:r>
      <w:r>
        <w:rPr>
          <w:rFonts w:ascii="仿宋" w:hAnsi="仿宋" w:cs="宋体"/>
          <w:kern w:val="0"/>
        </w:rPr>
        <w:t>630801</w:t>
      </w:r>
    </w:p>
    <w:p>
      <w:pPr>
        <w:pStyle w:val="2"/>
        <w:numPr>
          <w:ilvl w:val="0"/>
          <w:numId w:val="1"/>
        </w:numPr>
        <w:spacing w:line="360" w:lineRule="auto"/>
      </w:pPr>
      <w:r>
        <w:rPr>
          <w:rFonts w:hint="eastAsia"/>
        </w:rPr>
        <w:t>入学要求</w:t>
      </w:r>
    </w:p>
    <w:p>
      <w:pPr>
        <w:ind w:firstLine="420"/>
      </w:pPr>
      <w:r>
        <w:rPr>
          <w:rFonts w:hint="eastAsia"/>
        </w:rPr>
        <w:t>普通高级中学毕业、中等职业学校毕业或具备同等学力者。</w:t>
      </w:r>
    </w:p>
    <w:p>
      <w:pPr>
        <w:pStyle w:val="2"/>
        <w:numPr>
          <w:ilvl w:val="0"/>
          <w:numId w:val="1"/>
        </w:numPr>
        <w:spacing w:line="360" w:lineRule="auto"/>
      </w:pPr>
      <w:r>
        <w:rPr>
          <w:rFonts w:hint="eastAsia"/>
        </w:rPr>
        <w:t>基本修业年限</w:t>
      </w:r>
    </w:p>
    <w:p>
      <w:pPr>
        <w:ind w:firstLine="420"/>
      </w:pPr>
      <w:r>
        <w:rPr>
          <w:rFonts w:hint="eastAsia"/>
        </w:rPr>
        <w:t>1. 基本学制：3年</w:t>
      </w:r>
    </w:p>
    <w:p>
      <w:pPr>
        <w:spacing w:line="240" w:lineRule="auto"/>
        <w:ind w:firstLine="420"/>
        <w:jc w:val="left"/>
      </w:pPr>
      <w:r>
        <w:rPr>
          <w:rFonts w:hint="eastAsia"/>
        </w:rPr>
        <w:t>2. 修业年限：在校学习年限不少于2年，累计修业年限不超过5年（含休学）</w:t>
      </w:r>
    </w:p>
    <w:p>
      <w:pPr>
        <w:pStyle w:val="2"/>
        <w:spacing w:line="240" w:lineRule="auto"/>
      </w:pPr>
      <w:r>
        <w:rPr>
          <w:rFonts w:hint="eastAsia"/>
        </w:rPr>
        <w:t>四、职业面向</w:t>
      </w:r>
    </w:p>
    <w:tbl>
      <w:tblPr>
        <w:tblStyle w:val="8"/>
        <w:tblpPr w:leftFromText="180" w:rightFromText="180" w:vertAnchor="text" w:horzAnchor="margin" w:tblpXSpec="center" w:tblpY="67"/>
        <w:tblW w:w="8438" w:type="dxa"/>
        <w:tblInd w:w="-13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5"/>
        <w:gridCol w:w="1282"/>
        <w:gridCol w:w="1293"/>
        <w:gridCol w:w="1686"/>
        <w:gridCol w:w="2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15" w:type="dxa"/>
            <w:vAlign w:val="center"/>
          </w:tcPr>
          <w:p>
            <w:pPr>
              <w:spacing w:line="360" w:lineRule="exact"/>
              <w:rPr>
                <w:rFonts w:ascii="仿宋" w:hAnsi="仿宋" w:cs="仿宋"/>
                <w:bCs/>
                <w:kern w:val="0"/>
                <w:sz w:val="21"/>
                <w:szCs w:val="21"/>
              </w:rPr>
            </w:pPr>
            <w:r>
              <w:rPr>
                <w:rFonts w:hint="eastAsia" w:ascii="仿宋" w:hAnsi="仿宋" w:cs="仿宋"/>
                <w:bCs/>
                <w:kern w:val="0"/>
                <w:sz w:val="21"/>
                <w:szCs w:val="21"/>
              </w:rPr>
              <w:t>所属专业大类（代码）</w:t>
            </w:r>
          </w:p>
        </w:tc>
        <w:tc>
          <w:tcPr>
            <w:tcW w:w="1282" w:type="dxa"/>
            <w:vAlign w:val="center"/>
          </w:tcPr>
          <w:p>
            <w:pPr>
              <w:spacing w:line="360" w:lineRule="exact"/>
              <w:jc w:val="center"/>
              <w:rPr>
                <w:rFonts w:ascii="仿宋" w:hAnsi="仿宋" w:cs="仿宋"/>
                <w:bCs/>
                <w:kern w:val="0"/>
                <w:sz w:val="21"/>
                <w:szCs w:val="21"/>
              </w:rPr>
            </w:pPr>
            <w:r>
              <w:rPr>
                <w:rFonts w:hint="eastAsia" w:ascii="仿宋" w:hAnsi="仿宋" w:cs="仿宋"/>
                <w:bCs/>
                <w:kern w:val="0"/>
                <w:sz w:val="21"/>
                <w:szCs w:val="21"/>
              </w:rPr>
              <w:t>所属专业类</w:t>
            </w:r>
          </w:p>
          <w:p>
            <w:pPr>
              <w:spacing w:line="360" w:lineRule="exact"/>
              <w:jc w:val="center"/>
              <w:rPr>
                <w:rFonts w:ascii="仿宋" w:hAnsi="仿宋" w:cs="仿宋"/>
                <w:bCs/>
                <w:kern w:val="0"/>
                <w:sz w:val="21"/>
                <w:szCs w:val="21"/>
              </w:rPr>
            </w:pPr>
            <w:r>
              <w:rPr>
                <w:rFonts w:hint="eastAsia" w:ascii="仿宋" w:hAnsi="仿宋" w:cs="仿宋"/>
                <w:bCs/>
                <w:kern w:val="0"/>
                <w:sz w:val="21"/>
                <w:szCs w:val="21"/>
              </w:rPr>
              <w:t>（代码）</w:t>
            </w:r>
          </w:p>
        </w:tc>
        <w:tc>
          <w:tcPr>
            <w:tcW w:w="1293" w:type="dxa"/>
            <w:vAlign w:val="center"/>
          </w:tcPr>
          <w:p>
            <w:pPr>
              <w:spacing w:line="360" w:lineRule="exact"/>
              <w:jc w:val="center"/>
              <w:rPr>
                <w:rFonts w:ascii="仿宋" w:hAnsi="仿宋" w:cs="仿宋"/>
                <w:bCs/>
                <w:kern w:val="0"/>
                <w:sz w:val="21"/>
                <w:szCs w:val="21"/>
              </w:rPr>
            </w:pPr>
            <w:r>
              <w:rPr>
                <w:rFonts w:hint="eastAsia" w:ascii="仿宋" w:hAnsi="仿宋" w:cs="仿宋"/>
                <w:bCs/>
                <w:kern w:val="0"/>
                <w:sz w:val="21"/>
                <w:szCs w:val="21"/>
              </w:rPr>
              <w:t>对应</w:t>
            </w:r>
          </w:p>
          <w:p>
            <w:pPr>
              <w:spacing w:line="360" w:lineRule="exact"/>
              <w:jc w:val="center"/>
              <w:rPr>
                <w:rFonts w:ascii="仿宋" w:hAnsi="仿宋" w:cs="仿宋"/>
                <w:bCs/>
                <w:kern w:val="0"/>
                <w:sz w:val="21"/>
                <w:szCs w:val="21"/>
              </w:rPr>
            </w:pPr>
            <w:r>
              <w:rPr>
                <w:rFonts w:hint="eastAsia" w:ascii="仿宋" w:hAnsi="仿宋" w:cs="仿宋"/>
                <w:bCs/>
                <w:kern w:val="0"/>
                <w:sz w:val="21"/>
                <w:szCs w:val="21"/>
              </w:rPr>
              <w:t>行业</w:t>
            </w:r>
          </w:p>
          <w:p>
            <w:pPr>
              <w:spacing w:line="360" w:lineRule="exact"/>
              <w:jc w:val="center"/>
              <w:rPr>
                <w:rFonts w:ascii="仿宋" w:hAnsi="仿宋" w:cs="仿宋"/>
                <w:bCs/>
                <w:kern w:val="0"/>
                <w:sz w:val="21"/>
                <w:szCs w:val="21"/>
              </w:rPr>
            </w:pPr>
            <w:r>
              <w:rPr>
                <w:rFonts w:hint="eastAsia" w:ascii="仿宋" w:hAnsi="仿宋" w:cs="仿宋"/>
                <w:bCs/>
                <w:kern w:val="0"/>
                <w:sz w:val="21"/>
                <w:szCs w:val="21"/>
              </w:rPr>
              <w:t>（代码）</w:t>
            </w:r>
          </w:p>
        </w:tc>
        <w:tc>
          <w:tcPr>
            <w:tcW w:w="1686" w:type="dxa"/>
            <w:vAlign w:val="center"/>
          </w:tcPr>
          <w:p>
            <w:pPr>
              <w:spacing w:line="360" w:lineRule="exact"/>
              <w:jc w:val="center"/>
              <w:rPr>
                <w:rFonts w:ascii="仿宋" w:hAnsi="仿宋" w:cs="仿宋"/>
                <w:bCs/>
                <w:kern w:val="0"/>
                <w:sz w:val="21"/>
                <w:szCs w:val="21"/>
              </w:rPr>
            </w:pPr>
            <w:r>
              <w:rPr>
                <w:rFonts w:hint="eastAsia" w:ascii="仿宋" w:hAnsi="仿宋" w:cs="仿宋"/>
                <w:bCs/>
                <w:kern w:val="0"/>
                <w:sz w:val="21"/>
                <w:szCs w:val="21"/>
              </w:rPr>
              <w:t>主要职业类别</w:t>
            </w:r>
          </w:p>
          <w:p>
            <w:pPr>
              <w:spacing w:line="360" w:lineRule="exact"/>
              <w:jc w:val="center"/>
              <w:rPr>
                <w:rFonts w:ascii="仿宋" w:hAnsi="仿宋" w:cs="仿宋"/>
                <w:bCs/>
                <w:kern w:val="0"/>
                <w:sz w:val="21"/>
                <w:szCs w:val="21"/>
              </w:rPr>
            </w:pPr>
            <w:r>
              <w:rPr>
                <w:rFonts w:hint="eastAsia" w:ascii="仿宋" w:hAnsi="仿宋" w:cs="仿宋"/>
                <w:bCs/>
                <w:kern w:val="0"/>
                <w:sz w:val="21"/>
                <w:szCs w:val="21"/>
              </w:rPr>
              <w:t>（代码）</w:t>
            </w:r>
          </w:p>
        </w:tc>
        <w:tc>
          <w:tcPr>
            <w:tcW w:w="2862" w:type="dxa"/>
            <w:vAlign w:val="center"/>
          </w:tcPr>
          <w:p>
            <w:pPr>
              <w:spacing w:line="360" w:lineRule="exact"/>
              <w:jc w:val="center"/>
              <w:rPr>
                <w:rFonts w:ascii="仿宋" w:hAnsi="仿宋" w:cs="仿宋"/>
                <w:bCs/>
                <w:kern w:val="0"/>
                <w:sz w:val="21"/>
                <w:szCs w:val="21"/>
              </w:rPr>
            </w:pPr>
            <w:r>
              <w:rPr>
                <w:rFonts w:hint="eastAsia" w:ascii="仿宋" w:hAnsi="仿宋" w:cs="仿宋"/>
                <w:bCs/>
                <w:kern w:val="0"/>
                <w:sz w:val="21"/>
                <w:szCs w:val="21"/>
              </w:rPr>
              <w:t>主要岗位群或技术领域举例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0" w:hRule="exact"/>
        </w:trPr>
        <w:tc>
          <w:tcPr>
            <w:tcW w:w="1315" w:type="dxa"/>
            <w:vAlign w:val="center"/>
          </w:tcPr>
          <w:p>
            <w:pPr>
              <w:spacing w:line="240" w:lineRule="auto"/>
              <w:jc w:val="center"/>
              <w:rPr>
                <w:rFonts w:cs="Tahoma"/>
                <w:bCs/>
                <w:kern w:val="0"/>
                <w:sz w:val="21"/>
                <w:szCs w:val="21"/>
              </w:rPr>
            </w:pPr>
            <w:r>
              <w:rPr>
                <w:rFonts w:cs="Tahoma"/>
                <w:bCs/>
                <w:kern w:val="0"/>
                <w:sz w:val="21"/>
                <w:szCs w:val="21"/>
              </w:rPr>
              <w:t>63</w:t>
            </w:r>
            <w:r>
              <w:rPr>
                <w:rFonts w:hint="eastAsia" w:cs="Tahoma"/>
                <w:bCs/>
                <w:kern w:val="0"/>
                <w:sz w:val="21"/>
                <w:szCs w:val="21"/>
              </w:rPr>
              <w:t>财经商贸大类</w:t>
            </w:r>
          </w:p>
        </w:tc>
        <w:tc>
          <w:tcPr>
            <w:tcW w:w="1282" w:type="dxa"/>
            <w:vAlign w:val="center"/>
          </w:tcPr>
          <w:p>
            <w:pPr>
              <w:spacing w:line="240" w:lineRule="auto"/>
              <w:jc w:val="center"/>
              <w:rPr>
                <w:rFonts w:cs="Tahoma"/>
                <w:bCs/>
                <w:kern w:val="0"/>
                <w:sz w:val="21"/>
                <w:szCs w:val="21"/>
              </w:rPr>
            </w:pPr>
            <w:r>
              <w:rPr>
                <w:rFonts w:hint="eastAsia" w:cs="Tahoma"/>
                <w:bCs/>
                <w:kern w:val="0"/>
                <w:sz w:val="21"/>
                <w:szCs w:val="21"/>
              </w:rPr>
              <w:t>6308电子商务类</w:t>
            </w:r>
          </w:p>
        </w:tc>
        <w:tc>
          <w:tcPr>
            <w:tcW w:w="1293" w:type="dxa"/>
            <w:vAlign w:val="center"/>
          </w:tcPr>
          <w:p>
            <w:pPr>
              <w:spacing w:line="240" w:lineRule="auto"/>
              <w:rPr>
                <w:rFonts w:ascii="仿宋" w:hAnsi="仿宋" w:cs="仿宋"/>
                <w:bCs/>
                <w:kern w:val="0"/>
                <w:sz w:val="21"/>
                <w:szCs w:val="21"/>
              </w:rPr>
            </w:pPr>
            <w:r>
              <w:rPr>
                <w:rFonts w:hint="eastAsia" w:ascii="仿宋" w:hAnsi="仿宋" w:cs="仿宋"/>
                <w:bCs/>
                <w:kern w:val="0"/>
                <w:sz w:val="21"/>
                <w:szCs w:val="21"/>
              </w:rPr>
              <w:t xml:space="preserve">互联网和 相关服务 业（64）； </w:t>
            </w:r>
          </w:p>
          <w:p>
            <w:pPr>
              <w:spacing w:line="240" w:lineRule="auto"/>
              <w:jc w:val="left"/>
              <w:rPr>
                <w:rFonts w:ascii="仿宋" w:hAnsi="仿宋" w:cs="仿宋"/>
                <w:bCs/>
                <w:kern w:val="0"/>
                <w:sz w:val="21"/>
                <w:szCs w:val="21"/>
              </w:rPr>
            </w:pPr>
            <w:r>
              <w:rPr>
                <w:rFonts w:hint="eastAsia" w:ascii="仿宋" w:hAnsi="仿宋" w:cs="仿宋"/>
                <w:bCs/>
                <w:kern w:val="0"/>
                <w:sz w:val="21"/>
                <w:szCs w:val="21"/>
              </w:rPr>
              <w:t xml:space="preserve">批 发 业（51）； </w:t>
            </w:r>
          </w:p>
          <w:p>
            <w:pPr>
              <w:spacing w:line="240" w:lineRule="auto"/>
              <w:jc w:val="left"/>
              <w:rPr>
                <w:rFonts w:ascii="仿宋" w:hAnsi="仿宋" w:cs="仿宋"/>
                <w:bCs/>
                <w:kern w:val="0"/>
                <w:sz w:val="21"/>
                <w:szCs w:val="21"/>
              </w:rPr>
            </w:pPr>
            <w:r>
              <w:rPr>
                <w:rFonts w:hint="eastAsia" w:ascii="仿宋" w:hAnsi="仿宋" w:cs="仿宋"/>
                <w:bCs/>
                <w:kern w:val="0"/>
                <w:sz w:val="21"/>
                <w:szCs w:val="21"/>
              </w:rPr>
              <w:t>零 售 业 （52）</w:t>
            </w:r>
          </w:p>
          <w:p>
            <w:pPr>
              <w:spacing w:line="240" w:lineRule="auto"/>
              <w:jc w:val="center"/>
              <w:rPr>
                <w:rFonts w:ascii="仿宋" w:hAnsi="仿宋" w:cs="仿宋"/>
                <w:bCs/>
                <w:kern w:val="0"/>
                <w:sz w:val="21"/>
                <w:szCs w:val="21"/>
              </w:rPr>
            </w:pPr>
          </w:p>
        </w:tc>
        <w:tc>
          <w:tcPr>
            <w:tcW w:w="1686" w:type="dxa"/>
            <w:vAlign w:val="center"/>
          </w:tcPr>
          <w:p>
            <w:pPr>
              <w:spacing w:line="240" w:lineRule="auto"/>
              <w:jc w:val="center"/>
              <w:rPr>
                <w:rFonts w:ascii="仿宋" w:hAnsi="仿宋" w:cs="仿宋"/>
                <w:bCs/>
                <w:kern w:val="0"/>
                <w:sz w:val="21"/>
                <w:szCs w:val="21"/>
              </w:rPr>
            </w:pPr>
            <w:r>
              <w:rPr>
                <w:rFonts w:ascii="仿宋" w:hAnsi="仿宋" w:cs="仿宋"/>
                <w:bCs/>
                <w:kern w:val="0"/>
                <w:sz w:val="21"/>
                <w:szCs w:val="21"/>
              </w:rPr>
              <w:t xml:space="preserve">销 售 人 员 （4-01-02）； </w:t>
            </w:r>
          </w:p>
          <w:p>
            <w:pPr>
              <w:spacing w:line="240" w:lineRule="auto"/>
              <w:jc w:val="center"/>
              <w:rPr>
                <w:rFonts w:ascii="仿宋" w:hAnsi="仿宋" w:cs="仿宋"/>
                <w:bCs/>
                <w:kern w:val="0"/>
                <w:sz w:val="21"/>
                <w:szCs w:val="21"/>
              </w:rPr>
            </w:pPr>
            <w:r>
              <w:rPr>
                <w:rFonts w:ascii="仿宋" w:hAnsi="仿宋" w:cs="仿宋"/>
                <w:bCs/>
                <w:kern w:val="0"/>
                <w:sz w:val="21"/>
                <w:szCs w:val="21"/>
              </w:rPr>
              <w:t xml:space="preserve">商务咨询服务 人员（4 - 07 - 02）； </w:t>
            </w:r>
          </w:p>
          <w:p>
            <w:pPr>
              <w:spacing w:line="240" w:lineRule="auto"/>
              <w:jc w:val="center"/>
              <w:rPr>
                <w:rFonts w:ascii="仿宋" w:hAnsi="仿宋" w:cs="仿宋"/>
                <w:bCs/>
                <w:kern w:val="0"/>
                <w:sz w:val="21"/>
                <w:szCs w:val="21"/>
              </w:rPr>
            </w:pPr>
            <w:r>
              <w:rPr>
                <w:rFonts w:ascii="仿宋" w:hAnsi="仿宋" w:cs="仿宋"/>
                <w:bCs/>
                <w:kern w:val="0"/>
                <w:sz w:val="21"/>
                <w:szCs w:val="21"/>
              </w:rPr>
              <w:t xml:space="preserve">互联网营销师（4-01-02-07） </w:t>
            </w:r>
          </w:p>
          <w:p>
            <w:pPr>
              <w:spacing w:line="240" w:lineRule="auto"/>
              <w:jc w:val="center"/>
              <w:rPr>
                <w:rFonts w:ascii="仿宋" w:hAnsi="仿宋" w:cs="仿宋"/>
                <w:bCs/>
                <w:kern w:val="0"/>
                <w:sz w:val="21"/>
                <w:szCs w:val="21"/>
              </w:rPr>
            </w:pPr>
          </w:p>
        </w:tc>
        <w:tc>
          <w:tcPr>
            <w:tcW w:w="2862" w:type="dxa"/>
            <w:vAlign w:val="center"/>
          </w:tcPr>
          <w:p>
            <w:pPr>
              <w:spacing w:line="240" w:lineRule="auto"/>
              <w:rPr>
                <w:rFonts w:ascii="仿宋" w:hAnsi="仿宋" w:cs="仿宋"/>
                <w:bCs/>
                <w:kern w:val="0"/>
                <w:sz w:val="21"/>
                <w:szCs w:val="21"/>
              </w:rPr>
            </w:pPr>
            <w:r>
              <w:rPr>
                <w:rFonts w:hint="eastAsia" w:ascii="仿宋" w:hAnsi="仿宋" w:cs="仿宋"/>
                <w:bCs/>
                <w:kern w:val="0"/>
                <w:sz w:val="21"/>
                <w:szCs w:val="21"/>
              </w:rPr>
              <w:t>客户服务；</w:t>
            </w:r>
          </w:p>
          <w:p>
            <w:pPr>
              <w:spacing w:line="240" w:lineRule="auto"/>
              <w:rPr>
                <w:rFonts w:ascii="仿宋" w:hAnsi="仿宋" w:cs="仿宋"/>
                <w:bCs/>
                <w:kern w:val="0"/>
                <w:sz w:val="21"/>
                <w:szCs w:val="21"/>
              </w:rPr>
            </w:pPr>
            <w:r>
              <w:rPr>
                <w:rFonts w:hint="eastAsia" w:ascii="仿宋" w:hAnsi="仿宋" w:cs="仿宋"/>
                <w:bCs/>
                <w:kern w:val="0"/>
                <w:sz w:val="21"/>
                <w:szCs w:val="21"/>
              </w:rPr>
              <w:t>美工设计；</w:t>
            </w:r>
          </w:p>
          <w:p>
            <w:pPr>
              <w:spacing w:line="240" w:lineRule="auto"/>
              <w:jc w:val="left"/>
              <w:rPr>
                <w:rFonts w:ascii="仿宋" w:hAnsi="仿宋" w:cs="仿宋"/>
                <w:bCs/>
                <w:kern w:val="0"/>
                <w:sz w:val="21"/>
                <w:szCs w:val="21"/>
              </w:rPr>
            </w:pPr>
            <w:r>
              <w:rPr>
                <w:rFonts w:hint="eastAsia" w:ascii="仿宋" w:hAnsi="仿宋" w:cs="仿宋"/>
                <w:bCs/>
                <w:kern w:val="0"/>
                <w:sz w:val="21"/>
                <w:szCs w:val="21"/>
              </w:rPr>
              <w:t>营销推广；</w:t>
            </w:r>
          </w:p>
          <w:p>
            <w:pPr>
              <w:spacing w:line="240" w:lineRule="auto"/>
              <w:jc w:val="left"/>
              <w:rPr>
                <w:rFonts w:ascii="仿宋" w:hAnsi="仿宋" w:cs="仿宋"/>
                <w:bCs/>
                <w:kern w:val="0"/>
                <w:sz w:val="21"/>
                <w:szCs w:val="21"/>
              </w:rPr>
            </w:pPr>
            <w:r>
              <w:rPr>
                <w:rFonts w:hint="eastAsia" w:ascii="仿宋" w:hAnsi="仿宋" w:cs="仿宋"/>
                <w:bCs/>
                <w:kern w:val="0"/>
                <w:sz w:val="21"/>
                <w:szCs w:val="21"/>
              </w:rPr>
              <w:t>运营管理；</w:t>
            </w:r>
          </w:p>
          <w:p>
            <w:pPr>
              <w:spacing w:line="240" w:lineRule="auto"/>
              <w:jc w:val="left"/>
              <w:rPr>
                <w:rFonts w:ascii="仿宋" w:hAnsi="仿宋" w:cs="仿宋"/>
                <w:sz w:val="21"/>
                <w:szCs w:val="21"/>
              </w:rPr>
            </w:pPr>
            <w:r>
              <w:rPr>
                <w:rFonts w:hint="eastAsia" w:ascii="仿宋" w:hAnsi="仿宋" w:cs="仿宋"/>
                <w:sz w:val="21"/>
                <w:szCs w:val="21"/>
              </w:rPr>
              <w:t>网店运营推广职业技能等级证书（中级）；</w:t>
            </w:r>
          </w:p>
          <w:p>
            <w:pPr>
              <w:spacing w:line="240" w:lineRule="auto"/>
              <w:rPr>
                <w:rFonts w:cs="Tahoma"/>
                <w:bCs/>
                <w:kern w:val="0"/>
                <w:sz w:val="21"/>
                <w:szCs w:val="21"/>
              </w:rPr>
            </w:pPr>
            <w:r>
              <w:rPr>
                <w:rFonts w:hint="eastAsia" w:ascii="仿宋" w:hAnsi="仿宋" w:cs="仿宋"/>
                <w:sz w:val="21"/>
                <w:szCs w:val="21"/>
              </w:rPr>
              <w:t>电子商务数据分析职业技能等级证书（中级）；</w:t>
            </w:r>
          </w:p>
        </w:tc>
      </w:tr>
    </w:tbl>
    <w:p>
      <w:pPr>
        <w:jc w:val="center"/>
        <w:rPr>
          <w:rFonts w:ascii="仿宋" w:hAnsi="仿宋" w:cs="仿宋"/>
          <w:sz w:val="21"/>
          <w:szCs w:val="21"/>
        </w:rPr>
      </w:pPr>
      <w:r>
        <w:rPr>
          <w:rFonts w:hint="eastAsia" w:ascii="仿宋" w:hAnsi="仿宋" w:cs="仿宋"/>
          <w:sz w:val="21"/>
          <w:szCs w:val="21"/>
        </w:rPr>
        <w:t>表1  本专业职业面向</w:t>
      </w:r>
    </w:p>
    <w:p>
      <w:pPr>
        <w:spacing w:line="240" w:lineRule="auto"/>
        <w:jc w:val="left"/>
      </w:pPr>
      <w:r>
        <w:rPr>
          <w:rFonts w:hint="eastAsia"/>
        </w:rPr>
        <w:t>所属专业大类及所属专业类应依据现行专业目录；对应行业参照现行的《国民经济行业分类》；主要职业类别参照现行的《国家职业分类大典》；根据行业企业调研，明确主要岗位类别群或技术领域。</w:t>
      </w:r>
    </w:p>
    <w:p>
      <w:pPr>
        <w:spacing w:line="240" w:lineRule="auto"/>
        <w:jc w:val="left"/>
      </w:pPr>
    </w:p>
    <w:p>
      <w:pPr>
        <w:pStyle w:val="2"/>
        <w:numPr>
          <w:ilvl w:val="0"/>
          <w:numId w:val="2"/>
        </w:numPr>
      </w:pPr>
      <w:r>
        <w:rPr>
          <w:rFonts w:hint="eastAsia"/>
        </w:rPr>
        <w:t>培养目标</w:t>
      </w:r>
    </w:p>
    <w:p>
      <w:pPr>
        <w:shd w:val="clear" w:color="auto" w:fill="FFFFFF"/>
        <w:spacing w:line="480" w:lineRule="exact"/>
        <w:ind w:firstLine="480" w:firstLineChars="200"/>
        <w:rPr>
          <w:color w:val="1F497D" w:themeColor="text2"/>
          <w14:textFill>
            <w14:solidFill>
              <w14:schemeClr w14:val="tx2"/>
            </w14:solidFill>
          </w14:textFill>
        </w:rPr>
      </w:pPr>
      <w:r>
        <w:rPr>
          <w:rFonts w:hint="eastAsia" w:ascii="仿宋" w:hAnsi="仿宋" w:cs="仿宋"/>
        </w:rPr>
        <w:t>本专业培养理想信念坚定、热爱国家、拥护党的基本路线，德、智、体、美、劳全面发展，适应区域经济建设和社会发展需要，具有诚信、守法、敬业、创新的职业素养和高度的服务意识，具有互联网企业经营管理思维、人文素养、职业标准、实务技能的商务专业特质，掌握</w:t>
      </w:r>
      <w:r>
        <w:rPr>
          <w:rFonts w:hint="eastAsia" w:ascii="仿宋" w:hAnsi="仿宋" w:cs="仿宋"/>
          <w:b/>
          <w:bCs/>
        </w:rPr>
        <w:t>客户关系管理、网络信息编辑、网络营销与推广、网店运营管理</w:t>
      </w:r>
      <w:r>
        <w:rPr>
          <w:rFonts w:hint="eastAsia" w:ascii="仿宋" w:hAnsi="仿宋" w:cs="仿宋"/>
        </w:rPr>
        <w:t>等专业知识，具备</w:t>
      </w:r>
      <w:r>
        <w:rPr>
          <w:rFonts w:hint="eastAsia" w:ascii="仿宋" w:hAnsi="仿宋" w:cs="仿宋"/>
          <w:b/>
          <w:bCs/>
        </w:rPr>
        <w:t>网络客户服务、网络营销专员、</w:t>
      </w:r>
      <w:r>
        <w:rPr>
          <w:rFonts w:hint="eastAsia" w:ascii="仿宋" w:hAnsi="仿宋" w:cs="仿宋"/>
          <w:b/>
          <w:bCs/>
          <w:lang w:val="en-US" w:eastAsia="zh-CN"/>
        </w:rPr>
        <w:t>新媒体运营、</w:t>
      </w:r>
      <w:r>
        <w:rPr>
          <w:rFonts w:hint="eastAsia" w:ascii="仿宋" w:hAnsi="仿宋" w:cs="仿宋"/>
          <w:b/>
          <w:bCs/>
        </w:rPr>
        <w:t>商务数据分析、网店运营管理</w:t>
      </w:r>
      <w:r>
        <w:rPr>
          <w:rFonts w:hint="eastAsia" w:ascii="仿宋" w:hAnsi="仿宋" w:cs="仿宋"/>
        </w:rPr>
        <w:t>等岗位技能</w:t>
      </w:r>
      <w:r>
        <w:rPr>
          <w:rFonts w:hint="eastAsia" w:ascii="仿宋" w:hAnsi="仿宋" w:cs="仿宋"/>
          <w:b/>
          <w:bCs/>
        </w:rPr>
        <w:t>，</w:t>
      </w:r>
      <w:r>
        <w:rPr>
          <w:rFonts w:hint="eastAsia" w:ascii="仿宋" w:hAnsi="仿宋" w:cs="仿宋"/>
        </w:rPr>
        <w:t>面向电商企业、流通与贸易等行业企业</w:t>
      </w:r>
      <w:r>
        <w:rPr>
          <w:rFonts w:hint="eastAsia" w:ascii="仿宋" w:hAnsi="仿宋" w:cs="仿宋"/>
          <w:spacing w:val="-4"/>
        </w:rPr>
        <w:t>一线业务与营销岗位</w:t>
      </w:r>
      <w:r>
        <w:rPr>
          <w:rFonts w:hint="eastAsia" w:ascii="仿宋" w:hAnsi="仿宋" w:cs="仿宋"/>
        </w:rPr>
        <w:t>的高素质技术技能型人才。同时能适应外向型经济发展需要，拓展跨境电子商务专员的技能，以适应网络零售业国际化发展趋势与需求。</w:t>
      </w:r>
    </w:p>
    <w:p>
      <w:pPr>
        <w:pStyle w:val="2"/>
        <w:numPr>
          <w:ilvl w:val="0"/>
          <w:numId w:val="2"/>
        </w:numPr>
      </w:pPr>
      <w:r>
        <w:rPr>
          <w:rFonts w:hint="eastAsia"/>
        </w:rPr>
        <w:t xml:space="preserve">培养规格 </w:t>
      </w:r>
      <w:bookmarkStart w:id="0" w:name="_GoBack"/>
      <w:bookmarkEnd w:id="0"/>
    </w:p>
    <w:p>
      <w:pPr>
        <w:pStyle w:val="2"/>
        <w:spacing w:line="360" w:lineRule="auto"/>
        <w:ind w:firstLine="480" w:firstLineChars="200"/>
        <w:rPr>
          <w:rFonts w:eastAsia="仿宋"/>
          <w:b w:val="0"/>
          <w:bCs/>
          <w:kern w:val="2"/>
          <w:sz w:val="24"/>
        </w:rPr>
      </w:pPr>
      <w:r>
        <w:rPr>
          <w:rFonts w:hint="eastAsia" w:eastAsia="仿宋"/>
          <w:b w:val="0"/>
          <w:kern w:val="2"/>
          <w:sz w:val="24"/>
        </w:rPr>
        <w:t>根据</w:t>
      </w:r>
      <w:r>
        <w:rPr>
          <w:rFonts w:hint="eastAsia" w:eastAsia="仿宋"/>
          <w:bCs/>
          <w:kern w:val="2"/>
          <w:sz w:val="24"/>
        </w:rPr>
        <w:t>国家高等职业学校电子商务专业教学标准</w:t>
      </w:r>
      <w:r>
        <w:rPr>
          <w:rFonts w:hint="eastAsia" w:eastAsia="仿宋"/>
          <w:b w:val="0"/>
          <w:kern w:val="2"/>
          <w:sz w:val="24"/>
        </w:rPr>
        <w:t>、相关</w:t>
      </w:r>
      <w:r>
        <w:rPr>
          <w:rFonts w:hint="eastAsia" w:eastAsia="仿宋"/>
          <w:bCs/>
          <w:kern w:val="2"/>
          <w:sz w:val="24"/>
        </w:rPr>
        <w:t>“1+X”标准</w:t>
      </w:r>
      <w:r>
        <w:rPr>
          <w:rFonts w:hint="eastAsia" w:eastAsia="仿宋"/>
          <w:b w:val="0"/>
          <w:kern w:val="2"/>
          <w:sz w:val="24"/>
        </w:rPr>
        <w:t>和</w:t>
      </w:r>
      <w:r>
        <w:rPr>
          <w:rFonts w:hint="eastAsia" w:eastAsia="仿宋"/>
          <w:bCs/>
          <w:kern w:val="2"/>
          <w:sz w:val="24"/>
        </w:rPr>
        <w:t>行业规范</w:t>
      </w:r>
      <w:r>
        <w:rPr>
          <w:rFonts w:hint="eastAsia" w:eastAsia="仿宋"/>
          <w:b w:val="0"/>
          <w:kern w:val="2"/>
          <w:sz w:val="24"/>
        </w:rPr>
        <w:t>，</w:t>
      </w:r>
      <w:r>
        <w:rPr>
          <w:rFonts w:hint="eastAsia" w:eastAsia="仿宋"/>
          <w:b w:val="0"/>
          <w:bCs/>
          <w:kern w:val="2"/>
          <w:sz w:val="24"/>
        </w:rPr>
        <w:t>本专业毕业生应在素质、知识和能力等方面达到以下要求：</w:t>
      </w:r>
    </w:p>
    <w:p>
      <w:pPr>
        <w:pStyle w:val="3"/>
        <w:numPr>
          <w:ilvl w:val="0"/>
          <w:numId w:val="3"/>
        </w:numPr>
        <w:rPr>
          <w:rFonts w:ascii="宋体" w:hAnsi="宋体"/>
          <w:b/>
          <w:color w:val="1F497D" w:themeColor="text2"/>
          <w:szCs w:val="21"/>
          <w14:textFill>
            <w14:solidFill>
              <w14:schemeClr w14:val="tx2"/>
            </w14:solidFill>
          </w14:textFill>
        </w:rPr>
      </w:pPr>
      <w:r>
        <w:rPr>
          <w:rFonts w:hint="eastAsia"/>
        </w:rPr>
        <w:t>素质</w:t>
      </w:r>
    </w:p>
    <w:p>
      <w:pPr>
        <w:pStyle w:val="3"/>
        <w:ind w:firstLine="482" w:firstLineChars="200"/>
        <w:rPr>
          <w:rFonts w:ascii="仿宋" w:hAnsi="仿宋" w:eastAsia="仿宋" w:cs="仿宋"/>
          <w:b/>
          <w:szCs w:val="21"/>
        </w:rPr>
      </w:pPr>
      <w:r>
        <w:rPr>
          <w:rFonts w:hint="eastAsia" w:ascii="仿宋" w:hAnsi="仿宋" w:eastAsia="仿宋" w:cs="仿宋"/>
          <w:b/>
          <w:szCs w:val="21"/>
        </w:rPr>
        <w:t>1.思想政治素质</w:t>
      </w:r>
    </w:p>
    <w:p>
      <w:pPr>
        <w:snapToGrid w:val="0"/>
        <w:ind w:firstLine="480" w:firstLineChars="200"/>
        <w:jc w:val="left"/>
        <w:rPr>
          <w:rFonts w:ascii="仿宋" w:hAnsi="仿宋" w:cs="仿宋"/>
          <w:szCs w:val="21"/>
        </w:rPr>
      </w:pPr>
      <w:r>
        <w:rPr>
          <w:rFonts w:hint="eastAsia" w:ascii="仿宋" w:hAnsi="仿宋" w:cs="仿宋"/>
          <w:szCs w:val="21"/>
        </w:rPr>
        <w:t>（1）坚定拥护中国共产党领导和我国社会主义制度，在习近平新时代中国特色社会主义思想指引下，践行社会主义核心价值观，具有深厚的爱国情感和中华民族自豪感。</w:t>
      </w:r>
    </w:p>
    <w:p>
      <w:pPr>
        <w:snapToGrid w:val="0"/>
        <w:ind w:firstLine="480" w:firstLineChars="200"/>
        <w:jc w:val="left"/>
        <w:rPr>
          <w:rFonts w:ascii="宋体" w:hAnsi="宋体"/>
          <w:szCs w:val="21"/>
        </w:rPr>
      </w:pPr>
      <w:r>
        <w:rPr>
          <w:rFonts w:hint="eastAsia" w:ascii="仿宋" w:hAnsi="仿宋" w:cs="仿宋"/>
          <w:szCs w:val="21"/>
        </w:rPr>
        <w:t>（2）崇尚宪法、遵</w:t>
      </w:r>
      <w:r>
        <w:rPr>
          <w:rFonts w:hint="eastAsia" w:ascii="宋体" w:hAnsi="宋体"/>
          <w:szCs w:val="21"/>
        </w:rPr>
        <w:t>法守纪、崇德向善、诚实守信、尊重生命、热爱劳动，履行道德准则和行为规范，具有社会责任感。</w:t>
      </w:r>
    </w:p>
    <w:p>
      <w:pPr>
        <w:snapToGrid w:val="0"/>
        <w:ind w:firstLine="482" w:firstLineChars="200"/>
        <w:jc w:val="left"/>
        <w:rPr>
          <w:rFonts w:ascii="仿宋" w:hAnsi="仿宋" w:cs="仿宋"/>
          <w:b/>
          <w:szCs w:val="21"/>
        </w:rPr>
      </w:pPr>
      <w:r>
        <w:rPr>
          <w:rFonts w:hint="eastAsia" w:ascii="仿宋" w:hAnsi="仿宋" w:cs="仿宋"/>
          <w:b/>
          <w:szCs w:val="21"/>
        </w:rPr>
        <w:t>2.文化素质</w:t>
      </w:r>
    </w:p>
    <w:p>
      <w:pPr>
        <w:snapToGrid w:val="0"/>
        <w:ind w:firstLine="480" w:firstLineChars="200"/>
        <w:jc w:val="left"/>
        <w:rPr>
          <w:rFonts w:ascii="仿宋" w:hAnsi="仿宋" w:cs="仿宋"/>
          <w:szCs w:val="21"/>
        </w:rPr>
      </w:pPr>
      <w:r>
        <w:rPr>
          <w:rFonts w:hint="eastAsia" w:ascii="仿宋" w:hAnsi="仿宋" w:cs="仿宋"/>
          <w:szCs w:val="21"/>
        </w:rPr>
        <w:t>（1）具有扎实的语言、数学、审美、信息技术、人文与社会素养，具有互联网思维、大数据思维、跨界融合思维、哲学思辨思维，提升自身文化素质的多元性，与区域文化、世界文化及企业文化融合，开放且包容。</w:t>
      </w:r>
    </w:p>
    <w:p>
      <w:pPr>
        <w:ind w:firstLine="480" w:firstLineChars="200"/>
        <w:rPr>
          <w:rFonts w:ascii="仿宋" w:hAnsi="仿宋" w:cs="仿宋"/>
          <w:szCs w:val="21"/>
        </w:rPr>
      </w:pPr>
      <w:r>
        <w:rPr>
          <w:rFonts w:hint="eastAsia"/>
        </w:rPr>
        <w:t>（2）具有一定的审美和人文素养，能够形成艺术特长或爱好。</w:t>
      </w:r>
    </w:p>
    <w:p>
      <w:pPr>
        <w:snapToGrid w:val="0"/>
        <w:ind w:firstLine="482" w:firstLineChars="200"/>
        <w:jc w:val="left"/>
        <w:rPr>
          <w:rFonts w:ascii="仿宋" w:hAnsi="仿宋" w:cs="仿宋"/>
          <w:b/>
          <w:szCs w:val="21"/>
        </w:rPr>
      </w:pPr>
      <w:r>
        <w:rPr>
          <w:rFonts w:hint="eastAsia" w:ascii="仿宋" w:hAnsi="仿宋" w:cs="仿宋"/>
          <w:b/>
          <w:szCs w:val="21"/>
        </w:rPr>
        <w:t>3.职业素质</w:t>
      </w:r>
    </w:p>
    <w:p>
      <w:pPr>
        <w:snapToGrid w:val="0"/>
        <w:ind w:firstLine="480" w:firstLineChars="200"/>
        <w:jc w:val="left"/>
        <w:rPr>
          <w:rFonts w:ascii="仿宋" w:hAnsi="仿宋" w:cs="仿宋"/>
          <w:szCs w:val="21"/>
        </w:rPr>
      </w:pPr>
      <w:r>
        <w:rPr>
          <w:rFonts w:hint="eastAsia" w:ascii="仿宋" w:hAnsi="仿宋" w:cs="仿宋"/>
          <w:szCs w:val="21"/>
        </w:rPr>
        <w:t>（1）养成良好的职业道德和职业习惯，具备爱岗敬业、诚实守信、遵纪守法、服务群众、奉献社会的精神和严谨求实的作风。遵守行业制度规范、形成信息安全意识和积极追求产品卓越等职业习惯，形成职业精神。</w:t>
      </w:r>
    </w:p>
    <w:p>
      <w:pPr>
        <w:snapToGrid w:val="0"/>
        <w:ind w:firstLine="480" w:firstLineChars="200"/>
        <w:jc w:val="left"/>
        <w:rPr>
          <w:rFonts w:ascii="仿宋" w:hAnsi="仿宋" w:cs="仿宋"/>
          <w:szCs w:val="21"/>
        </w:rPr>
      </w:pPr>
      <w:r>
        <w:rPr>
          <w:rFonts w:hint="eastAsia" w:ascii="仿宋" w:hAnsi="仿宋" w:cs="仿宋"/>
          <w:szCs w:val="21"/>
        </w:rPr>
        <w:t>（2）掌握电商新业态新模式的应用，具有创新精神和创业意识，能够综合运用已有的知识、技能和方法，提出新方法、新观点的思维能力和进行发明创造和革新。</w:t>
      </w:r>
    </w:p>
    <w:p>
      <w:pPr>
        <w:snapToGrid w:val="0"/>
        <w:ind w:firstLine="480" w:firstLineChars="200"/>
        <w:jc w:val="left"/>
        <w:rPr>
          <w:rFonts w:ascii="仿宋" w:hAnsi="仿宋" w:cs="仿宋"/>
          <w:szCs w:val="21"/>
        </w:rPr>
      </w:pPr>
      <w:r>
        <w:rPr>
          <w:rFonts w:hint="eastAsia" w:ascii="仿宋" w:hAnsi="仿宋" w:cs="仿宋"/>
          <w:szCs w:val="21"/>
        </w:rPr>
        <w:t>（3）具有网络信息产出和收集、处理和分析素养，具备较强的竞争意识、成本意识、质量意识、安全意识、工匠精神、创新思维、全球视野，具有系统解决问题的意识与能力。</w:t>
      </w:r>
    </w:p>
    <w:p>
      <w:pPr>
        <w:adjustRightInd w:val="0"/>
        <w:snapToGrid w:val="0"/>
        <w:ind w:firstLine="420"/>
        <w:jc w:val="left"/>
        <w:rPr>
          <w:rFonts w:ascii="仿宋" w:hAnsi="仿宋" w:cs="仿宋"/>
          <w:szCs w:val="21"/>
        </w:rPr>
      </w:pPr>
      <w:r>
        <w:rPr>
          <w:rFonts w:hint="eastAsia" w:ascii="仿宋" w:hAnsi="仿宋" w:cs="仿宋"/>
        </w:rPr>
        <w:t>（4）尊重和崇尚劳动，具有职业荣誉感。</w:t>
      </w:r>
    </w:p>
    <w:p>
      <w:pPr>
        <w:snapToGrid w:val="0"/>
        <w:ind w:firstLine="482" w:firstLineChars="200"/>
        <w:jc w:val="left"/>
        <w:rPr>
          <w:rFonts w:ascii="仿宋" w:hAnsi="仿宋" w:cs="仿宋"/>
          <w:b/>
          <w:szCs w:val="21"/>
        </w:rPr>
      </w:pPr>
      <w:r>
        <w:rPr>
          <w:rFonts w:hint="eastAsia" w:ascii="仿宋" w:hAnsi="仿宋" w:cs="仿宋"/>
          <w:b/>
          <w:szCs w:val="21"/>
        </w:rPr>
        <w:t>4.身心素质</w:t>
      </w:r>
    </w:p>
    <w:p>
      <w:pPr>
        <w:ind w:firstLine="480" w:firstLineChars="200"/>
      </w:pPr>
      <w:r>
        <w:rPr>
          <w:rFonts w:hint="eastAsia" w:ascii="仿宋" w:hAnsi="仿宋" w:cs="仿宋"/>
          <w:szCs w:val="21"/>
        </w:rPr>
        <w:t>（1）具有体育意识，</w:t>
      </w:r>
      <w:r>
        <w:rPr>
          <w:rFonts w:hint="eastAsia"/>
        </w:rPr>
        <w:t>具有健康的体魄、心理和健全的人格，掌握基本运动知识和1-2项运动技能，养成良好的健康和卫生习惯，以及良好的行为习惯，</w:t>
      </w:r>
      <w:r>
        <w:rPr>
          <w:rFonts w:hint="eastAsia" w:ascii="仿宋" w:hAnsi="仿宋" w:cs="仿宋"/>
          <w:szCs w:val="21"/>
        </w:rPr>
        <w:t>奠定终身体育锻炼的思想。</w:t>
      </w:r>
    </w:p>
    <w:p>
      <w:pPr>
        <w:ind w:firstLine="480" w:firstLineChars="200"/>
      </w:pPr>
      <w:r>
        <w:rPr>
          <w:rFonts w:hint="eastAsia"/>
        </w:rPr>
        <w:t>（2）</w:t>
      </w:r>
      <w:r>
        <w:rPr>
          <w:rFonts w:hint="eastAsia" w:ascii="仿宋" w:hAnsi="仿宋" w:cs="仿宋"/>
          <w:szCs w:val="21"/>
        </w:rPr>
        <w:t>具有健全的人格、积极的心态、良好的人际关系，具有环境适应能力，具有较强的抗挫和抗压能力，</w:t>
      </w:r>
      <w:r>
        <w:rPr>
          <w:rFonts w:hint="eastAsia"/>
        </w:rPr>
        <w:t>勇于奋斗、乐观向上。</w:t>
      </w:r>
    </w:p>
    <w:p>
      <w:pPr>
        <w:ind w:firstLine="480" w:firstLineChars="200"/>
      </w:pPr>
      <w:r>
        <w:rPr>
          <w:rFonts w:hint="eastAsia"/>
        </w:rPr>
        <w:t>（3）具有自我管理能力、职业生涯规划意识，有较强的集体意识和团队合作精神。</w:t>
      </w:r>
    </w:p>
    <w:p>
      <w:pPr>
        <w:pStyle w:val="3"/>
      </w:pPr>
      <w:r>
        <w:rPr>
          <w:rFonts w:hint="eastAsia"/>
        </w:rPr>
        <w:t>（二）知识</w:t>
      </w:r>
    </w:p>
    <w:p>
      <w:pPr>
        <w:snapToGrid w:val="0"/>
        <w:ind w:firstLine="482" w:firstLineChars="200"/>
        <w:jc w:val="left"/>
        <w:rPr>
          <w:rFonts w:ascii="宋体" w:hAnsi="宋体"/>
          <w:b/>
          <w:bCs/>
          <w:szCs w:val="21"/>
        </w:rPr>
      </w:pPr>
      <w:r>
        <w:rPr>
          <w:rFonts w:hint="eastAsia" w:ascii="宋体" w:hAnsi="宋体"/>
          <w:b/>
          <w:bCs/>
          <w:szCs w:val="21"/>
        </w:rPr>
        <w:t>1</w:t>
      </w:r>
      <w:r>
        <w:rPr>
          <w:rFonts w:ascii="宋体" w:hAnsi="宋体"/>
          <w:b/>
          <w:bCs/>
          <w:szCs w:val="21"/>
        </w:rPr>
        <w:t>.</w:t>
      </w:r>
      <w:r>
        <w:rPr>
          <w:rFonts w:hint="eastAsia" w:ascii="宋体" w:hAnsi="宋体"/>
          <w:b/>
          <w:bCs/>
          <w:szCs w:val="21"/>
        </w:rPr>
        <w:t>通识知识</w:t>
      </w:r>
    </w:p>
    <w:p>
      <w:pPr>
        <w:snapToGrid w:val="0"/>
        <w:ind w:firstLine="480" w:firstLineChars="200"/>
        <w:jc w:val="left"/>
        <w:rPr>
          <w:rFonts w:ascii="宋体" w:hAnsi="宋体"/>
          <w:szCs w:val="21"/>
        </w:rPr>
      </w:pPr>
      <w:r>
        <w:rPr>
          <w:rFonts w:hint="eastAsia" w:ascii="宋体" w:hAnsi="宋体"/>
          <w:szCs w:val="21"/>
        </w:rPr>
        <w:t>（1）掌握必备的思想政治理论、科学文化基础知识和中华优秀传统文化知识。</w:t>
      </w:r>
    </w:p>
    <w:p>
      <w:pPr>
        <w:snapToGrid w:val="0"/>
        <w:ind w:firstLine="480" w:firstLineChars="200"/>
        <w:jc w:val="left"/>
        <w:rPr>
          <w:rFonts w:ascii="宋体" w:hAnsi="宋体"/>
          <w:szCs w:val="21"/>
        </w:rPr>
      </w:pPr>
      <w:r>
        <w:rPr>
          <w:rFonts w:hint="eastAsia" w:ascii="宋体" w:hAnsi="宋体"/>
          <w:szCs w:val="21"/>
        </w:rPr>
        <w:t>（2）熟悉与本专业相关的法律法规以及环境保护、安全消防、支付与安全等相关知识。</w:t>
      </w:r>
    </w:p>
    <w:p>
      <w:pPr>
        <w:snapToGrid w:val="0"/>
        <w:ind w:firstLine="482" w:firstLineChars="200"/>
        <w:jc w:val="left"/>
        <w:rPr>
          <w:rFonts w:ascii="宋体" w:hAnsi="宋体"/>
          <w:b/>
          <w:bCs/>
          <w:szCs w:val="21"/>
        </w:rPr>
      </w:pPr>
      <w:r>
        <w:rPr>
          <w:rFonts w:hint="eastAsia" w:ascii="宋体" w:hAnsi="宋体"/>
          <w:b/>
          <w:bCs/>
          <w:szCs w:val="21"/>
        </w:rPr>
        <w:t>2.专业知识</w:t>
      </w:r>
    </w:p>
    <w:p>
      <w:pPr>
        <w:snapToGrid w:val="0"/>
        <w:jc w:val="left"/>
        <w:rPr>
          <w:rFonts w:ascii="宋体" w:hAnsi="宋体"/>
          <w:szCs w:val="21"/>
        </w:rPr>
      </w:pPr>
    </w:p>
    <w:p>
      <w:pPr>
        <w:snapToGrid w:val="0"/>
        <w:jc w:val="left"/>
        <w:rPr>
          <w:rFonts w:ascii="宋体" w:hAnsi="宋体"/>
          <w:szCs w:val="21"/>
        </w:rPr>
      </w:pPr>
    </w:p>
    <w:p>
      <w:pPr>
        <w:snapToGrid w:val="0"/>
        <w:jc w:val="left"/>
        <w:rPr>
          <w:rFonts w:ascii="宋体" w:hAnsi="宋体"/>
          <w:szCs w:val="21"/>
        </w:rPr>
      </w:pPr>
    </w:p>
    <w:p>
      <w:pPr>
        <w:snapToGrid w:val="0"/>
        <w:jc w:val="left"/>
        <w:rPr>
          <w:rFonts w:ascii="宋体" w:hAnsi="宋体"/>
          <w:szCs w:val="21"/>
        </w:rPr>
      </w:pPr>
    </w:p>
    <w:tbl>
      <w:tblPr>
        <w:tblStyle w:val="8"/>
        <w:tblpPr w:leftFromText="180" w:rightFromText="180" w:vertAnchor="text" w:horzAnchor="page" w:tblpX="1029" w:tblpY="469"/>
        <w:tblOverlap w:val="never"/>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13"/>
        <w:gridCol w:w="2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05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cs="宋体"/>
                <w:kern w:val="0"/>
              </w:rPr>
            </w:pPr>
          </w:p>
        </w:tc>
        <w:tc>
          <w:tcPr>
            <w:tcW w:w="601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cs="宋体"/>
                <w:b/>
                <w:kern w:val="0"/>
              </w:rPr>
            </w:pPr>
            <w:r>
              <w:rPr>
                <w:rFonts w:hint="eastAsia" w:ascii="仿宋" w:hAnsi="仿宋" w:cs="宋体"/>
                <w:b/>
                <w:kern w:val="0"/>
              </w:rPr>
              <w:t>具体内容</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auto"/>
              <w:jc w:val="center"/>
              <w:outlineLvl w:val="4"/>
              <w:rPr>
                <w:rFonts w:ascii="仿宋" w:hAnsi="仿宋" w:cs="宋体"/>
                <w:b/>
                <w:kern w:val="0"/>
              </w:rPr>
            </w:pPr>
            <w:r>
              <w:rPr>
                <w:rFonts w:hint="eastAsia" w:ascii="仿宋" w:hAnsi="仿宋" w:cs="宋体"/>
                <w:b/>
                <w:kern w:val="0"/>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0" w:type="dxa"/>
            <w:vMerge w:val="restart"/>
            <w:tcBorders>
              <w:top w:val="single" w:color="auto" w:sz="4" w:space="0"/>
              <w:left w:val="single" w:color="auto" w:sz="4" w:space="0"/>
              <w:right w:val="single" w:color="auto" w:sz="4" w:space="0"/>
            </w:tcBorders>
            <w:vAlign w:val="center"/>
          </w:tcPr>
          <w:p>
            <w:pPr>
              <w:spacing w:line="400" w:lineRule="exact"/>
              <w:rPr>
                <w:rFonts w:ascii="宋体" w:hAnsi="宋体"/>
                <w:b/>
                <w:bCs/>
              </w:rPr>
            </w:pPr>
            <w:r>
              <w:rPr>
                <w:rFonts w:hint="eastAsia" w:ascii="宋体" w:hAnsi="宋体"/>
                <w:b/>
                <w:bCs/>
              </w:rPr>
              <w:t>专业</w:t>
            </w:r>
          </w:p>
          <w:p>
            <w:pPr>
              <w:spacing w:line="400" w:lineRule="exact"/>
              <w:rPr>
                <w:rFonts w:ascii="宋体" w:hAnsi="宋体"/>
                <w:b/>
                <w:bCs/>
              </w:rPr>
            </w:pPr>
            <w:r>
              <w:rPr>
                <w:rFonts w:hint="eastAsia" w:ascii="宋体" w:hAnsi="宋体"/>
                <w:b/>
                <w:bCs/>
              </w:rPr>
              <w:t>基础</w:t>
            </w:r>
          </w:p>
          <w:p>
            <w:pPr>
              <w:spacing w:line="400" w:lineRule="exact"/>
              <w:rPr>
                <w:rFonts w:ascii="宋体" w:hAnsi="宋体"/>
                <w:b/>
                <w:bCs/>
              </w:rPr>
            </w:pPr>
            <w:r>
              <w:rPr>
                <w:rFonts w:hint="eastAsia" w:ascii="宋体" w:hAnsi="宋体"/>
                <w:b/>
                <w:bCs/>
              </w:rPr>
              <w:t>知识</w:t>
            </w:r>
          </w:p>
          <w:p>
            <w:pPr>
              <w:spacing w:line="400" w:lineRule="exact"/>
              <w:rPr>
                <w:rFonts w:ascii="宋体" w:hAnsi="宋体"/>
              </w:rPr>
            </w:pPr>
          </w:p>
        </w:tc>
        <w:tc>
          <w:tcPr>
            <w:tcW w:w="601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b/>
                <w:bCs/>
              </w:rPr>
            </w:pPr>
            <w:r>
              <w:rPr>
                <w:rFonts w:hint="eastAsia" w:ascii="宋体" w:hAnsi="宋体"/>
                <w:b/>
                <w:bCs/>
              </w:rPr>
              <w:t>结合电商专业特点，体现基础课程为专业课程服务的定位</w:t>
            </w:r>
          </w:p>
          <w:p>
            <w:pPr>
              <w:spacing w:line="400" w:lineRule="exact"/>
              <w:rPr>
                <w:rFonts w:ascii="宋体" w:hAnsi="宋体"/>
              </w:rPr>
            </w:pPr>
            <w:r>
              <w:rPr>
                <w:rFonts w:hint="eastAsia" w:ascii="仿宋" w:hAnsi="仿宋" w:cs="仿宋"/>
              </w:rPr>
              <w:t>（1）运用企业管理活动的基本原理、方法和技巧，培养学生运用管理者的思维分析和解决现实中的问题、网络平台运营的问题，培养一定的管理能力和创新思维。</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宋体"/>
                <w:kern w:val="0"/>
              </w:rPr>
            </w:pPr>
            <w:r>
              <w:rPr>
                <w:rFonts w:hint="eastAsia" w:ascii="仿宋" w:hAnsi="仿宋" w:cs="宋体"/>
                <w:kern w:val="0"/>
              </w:rPr>
              <w:t>《现代企业管理》</w:t>
            </w:r>
          </w:p>
          <w:p>
            <w:pPr>
              <w:widowControl/>
              <w:spacing w:line="400" w:lineRule="exact"/>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050" w:type="dxa"/>
            <w:vMerge w:val="continue"/>
            <w:tcBorders>
              <w:left w:val="single" w:color="auto" w:sz="4" w:space="0"/>
              <w:right w:val="single" w:color="auto" w:sz="4" w:space="0"/>
            </w:tcBorders>
            <w:vAlign w:val="center"/>
          </w:tcPr>
          <w:p>
            <w:pPr>
              <w:widowControl/>
              <w:spacing w:before="100" w:beforeAutospacing="1" w:after="100" w:afterAutospacing="1" w:line="400" w:lineRule="exact"/>
              <w:jc w:val="center"/>
              <w:outlineLvl w:val="4"/>
              <w:rPr>
                <w:color w:val="000000" w:themeColor="text1"/>
                <w14:textFill>
                  <w14:solidFill>
                    <w14:schemeClr w14:val="tx1"/>
                  </w14:solidFill>
                </w14:textFill>
              </w:rPr>
            </w:pPr>
          </w:p>
        </w:tc>
        <w:tc>
          <w:tcPr>
            <w:tcW w:w="601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（2）明确电子商务的基本概念和理论，能分类比较新技术、新工艺，了解行业新规范，熟悉电子商务交易基本流程，能够进行电子商务沙盘模拟操作。</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宋体"/>
                <w:kern w:val="0"/>
              </w:rPr>
            </w:pPr>
            <w:r>
              <w:rPr>
                <w:rFonts w:hint="eastAsia" w:ascii="仿宋" w:hAnsi="仿宋" w:cs="宋体"/>
                <w:kern w:val="0"/>
              </w:rPr>
              <w:t>《电子商务概论》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1050" w:type="dxa"/>
            <w:vMerge w:val="restart"/>
            <w:tcBorders>
              <w:left w:val="single" w:color="auto" w:sz="4" w:space="0"/>
              <w:right w:val="single" w:color="auto" w:sz="4" w:space="0"/>
            </w:tcBorders>
            <w:vAlign w:val="center"/>
          </w:tcPr>
          <w:p>
            <w:pPr>
              <w:widowControl/>
              <w:jc w:val="center"/>
              <w:rPr>
                <w:rFonts w:ascii="仿宋" w:hAnsi="仿宋" w:cs="宋体"/>
                <w:b/>
                <w:bCs/>
                <w:color w:val="000000" w:themeColor="text1"/>
                <w:kern w:val="0"/>
                <w14:textFill>
                  <w14:solidFill>
                    <w14:schemeClr w14:val="tx1"/>
                  </w14:solidFill>
                </w14:textFill>
              </w:rPr>
            </w:pPr>
            <w:r>
              <w:rPr>
                <w:rFonts w:hint="eastAsia" w:ascii="仿宋" w:hAnsi="仿宋" w:cs="宋体"/>
                <w:b/>
                <w:bCs/>
                <w:color w:val="000000" w:themeColor="text1"/>
                <w:kern w:val="0"/>
                <w14:textFill>
                  <w14:solidFill>
                    <w14:schemeClr w14:val="tx1"/>
                  </w14:solidFill>
                </w14:textFill>
              </w:rPr>
              <w:t>专业</w:t>
            </w:r>
          </w:p>
          <w:p>
            <w:pPr>
              <w:widowControl/>
              <w:jc w:val="center"/>
              <w:rPr>
                <w:rFonts w:ascii="仿宋" w:hAnsi="仿宋" w:cs="宋体"/>
                <w:b/>
                <w:bCs/>
                <w:color w:val="000000" w:themeColor="text1"/>
                <w:kern w:val="0"/>
                <w14:textFill>
                  <w14:solidFill>
                    <w14:schemeClr w14:val="tx1"/>
                  </w14:solidFill>
                </w14:textFill>
              </w:rPr>
            </w:pPr>
            <w:r>
              <w:rPr>
                <w:rFonts w:hint="eastAsia" w:ascii="仿宋" w:hAnsi="仿宋" w:cs="宋体"/>
                <w:b/>
                <w:bCs/>
                <w:color w:val="000000" w:themeColor="text1"/>
                <w:kern w:val="0"/>
                <w14:textFill>
                  <w14:solidFill>
                    <w14:schemeClr w14:val="tx1"/>
                  </w14:solidFill>
                </w14:textFill>
              </w:rPr>
              <w:t>技能</w:t>
            </w:r>
          </w:p>
          <w:p>
            <w:pPr>
              <w:widowControl/>
              <w:jc w:val="center"/>
              <w:rPr>
                <w:rFonts w:ascii="仿宋" w:hAnsi="仿宋" w:cs="宋体"/>
                <w:color w:val="000000" w:themeColor="text1"/>
                <w:kern w:val="0"/>
                <w14:textFill>
                  <w14:solidFill>
                    <w14:schemeClr w14:val="tx1"/>
                  </w14:solidFill>
                </w14:textFill>
              </w:rPr>
            </w:pPr>
            <w:r>
              <w:rPr>
                <w:rFonts w:hint="eastAsia" w:ascii="仿宋" w:hAnsi="仿宋" w:cs="宋体"/>
                <w:b/>
                <w:bCs/>
                <w:color w:val="000000" w:themeColor="text1"/>
                <w:kern w:val="0"/>
                <w14:textFill>
                  <w14:solidFill>
                    <w14:schemeClr w14:val="tx1"/>
                  </w14:solidFill>
                </w14:textFill>
              </w:rPr>
              <w:t>知识</w:t>
            </w:r>
          </w:p>
        </w:tc>
        <w:tc>
          <w:tcPr>
            <w:tcW w:w="601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cs="宋体"/>
                <w:kern w:val="0"/>
              </w:rPr>
            </w:pPr>
            <w:r>
              <w:rPr>
                <w:rFonts w:hint="eastAsia" w:ascii="宋体" w:hAnsi="宋体"/>
                <w:szCs w:val="21"/>
              </w:rPr>
              <w:t>（3）掌握客户开发、沟通与维护的方法，具备网络客户服务与管理的相关知识，为客户提供高效、个性化的解决方案。</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宋体"/>
                <w:kern w:val="0"/>
              </w:rPr>
            </w:pPr>
            <w:r>
              <w:rPr>
                <w:rFonts w:hint="eastAsia" w:ascii="仿宋" w:hAnsi="仿宋" w:cs="宋体"/>
                <w:kern w:val="0"/>
              </w:rPr>
              <w:t>《客户关系管理》</w:t>
            </w:r>
          </w:p>
          <w:p>
            <w:pPr>
              <w:widowControl/>
              <w:spacing w:line="400" w:lineRule="exact"/>
              <w:outlineLvl w:val="4"/>
              <w:rPr>
                <w:rFonts w:ascii="仿宋" w:hAnsi="仿宋" w:cs="宋体"/>
                <w:kern w:val="0"/>
              </w:rPr>
            </w:pPr>
            <w:r>
              <w:rPr>
                <w:rFonts w:hint="eastAsia" w:ascii="仿宋" w:hAnsi="仿宋" w:cs="宋体"/>
                <w:kern w:val="0"/>
              </w:rPr>
              <w:t>《网络客户服务实务》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1050" w:type="dxa"/>
            <w:vMerge w:val="continue"/>
            <w:tcBorders>
              <w:left w:val="single" w:color="auto" w:sz="4" w:space="0"/>
              <w:right w:val="single" w:color="auto" w:sz="4" w:space="0"/>
            </w:tcBorders>
            <w:vAlign w:val="center"/>
          </w:tcPr>
          <w:p>
            <w:pPr>
              <w:widowControl/>
              <w:jc w:val="left"/>
              <w:rPr>
                <w:rFonts w:ascii="仿宋" w:hAnsi="仿宋" w:cs="宋体"/>
                <w:color w:val="000000" w:themeColor="text1"/>
                <w:kern w:val="0"/>
                <w14:textFill>
                  <w14:solidFill>
                    <w14:schemeClr w14:val="tx1"/>
                  </w14:solidFill>
                </w14:textFill>
              </w:rPr>
            </w:pPr>
          </w:p>
        </w:tc>
        <w:tc>
          <w:tcPr>
            <w:tcW w:w="6013" w:type="dxa"/>
            <w:tcBorders>
              <w:top w:val="single" w:color="auto" w:sz="4" w:space="0"/>
              <w:left w:val="single" w:color="auto" w:sz="4" w:space="0"/>
              <w:bottom w:val="single" w:color="auto" w:sz="4" w:space="0"/>
              <w:right w:val="single" w:color="auto" w:sz="4" w:space="0"/>
            </w:tcBorders>
            <w:vAlign w:val="center"/>
          </w:tcPr>
          <w:p>
            <w:pPr>
              <w:widowControl/>
              <w:spacing w:beforeAutospacing="1" w:afterAutospacing="1" w:line="400" w:lineRule="exact"/>
              <w:outlineLvl w:val="4"/>
              <w:rPr>
                <w:rFonts w:ascii="宋体" w:hAnsi="宋体"/>
                <w:szCs w:val="21"/>
              </w:rPr>
            </w:pPr>
            <w:r>
              <w:rPr>
                <w:rFonts w:hint="eastAsia" w:ascii="宋体" w:hAnsi="宋体"/>
                <w:szCs w:val="21"/>
              </w:rPr>
              <w:t>（4）熟悉商务网页架构布局，能够设计简单的商务网页</w:t>
            </w:r>
          </w:p>
          <w:p>
            <w:pPr>
              <w:adjustRightInd w:val="0"/>
              <w:snapToGrid w:val="0"/>
              <w:rPr>
                <w:rFonts w:ascii="宋体" w:hAnsi="宋体"/>
                <w:szCs w:val="21"/>
              </w:rPr>
            </w:pPr>
            <w:r>
              <w:rPr>
                <w:rFonts w:hint="eastAsia" w:ascii="宋体" w:hAnsi="宋体"/>
                <w:szCs w:val="21"/>
              </w:rPr>
              <w:t>（5）掌握商品拍摄、图片处理美化、店铺装修和网络文案写作、网络信息编辑的方法，从整体到局部展示商品特征，突出商品卖点，提高用户关注度，实现视觉营销效果。</w:t>
            </w:r>
          </w:p>
          <w:p>
            <w:pPr>
              <w:adjustRightInd w:val="0"/>
              <w:snapToGrid w:val="0"/>
              <w:rPr>
                <w:rFonts w:ascii="宋体" w:hAnsi="宋体"/>
                <w:szCs w:val="21"/>
              </w:rPr>
            </w:pPr>
            <w:r>
              <w:rPr>
                <w:rFonts w:hint="eastAsia" w:ascii="宋体" w:hAnsi="宋体"/>
              </w:rPr>
              <w:t>（6）具备网络信息采集、筛选和编辑与发布的能力，能够根据要求进行网站（店）内容更新、策划与制作。</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宋体"/>
                <w:kern w:val="0"/>
              </w:rPr>
            </w:pPr>
            <w:r>
              <w:rPr>
                <w:rFonts w:hint="eastAsia" w:ascii="仿宋" w:hAnsi="仿宋" w:cs="宋体"/>
                <w:kern w:val="0"/>
              </w:rPr>
              <w:t>《电子商务网页设计与制作》</w:t>
            </w:r>
          </w:p>
          <w:p>
            <w:pPr>
              <w:widowControl/>
              <w:spacing w:line="400" w:lineRule="exact"/>
              <w:outlineLvl w:val="4"/>
              <w:rPr>
                <w:rFonts w:ascii="仿宋" w:hAnsi="仿宋" w:cs="宋体"/>
                <w:kern w:val="0"/>
              </w:rPr>
            </w:pPr>
            <w:r>
              <w:rPr>
                <w:rFonts w:hint="eastAsia" w:ascii="仿宋" w:hAnsi="仿宋" w:cs="宋体"/>
                <w:kern w:val="0"/>
              </w:rPr>
              <w:t>《网店美工》</w:t>
            </w:r>
          </w:p>
          <w:p>
            <w:pPr>
              <w:widowControl/>
              <w:spacing w:line="400" w:lineRule="exact"/>
              <w:outlineLvl w:val="4"/>
              <w:rPr>
                <w:rFonts w:ascii="仿宋" w:hAnsi="仿宋" w:cs="宋体"/>
                <w:kern w:val="0"/>
              </w:rPr>
            </w:pPr>
            <w:r>
              <w:rPr>
                <w:rFonts w:hint="eastAsia" w:ascii="仿宋" w:hAnsi="仿宋" w:cs="宋体"/>
                <w:kern w:val="0"/>
              </w:rPr>
              <w:t>《网络信息编辑》</w:t>
            </w:r>
          </w:p>
          <w:p>
            <w:pPr>
              <w:widowControl/>
              <w:spacing w:line="400" w:lineRule="exact"/>
              <w:outlineLvl w:val="4"/>
              <w:rPr>
                <w:rFonts w:ascii="仿宋" w:hAnsi="仿宋" w:cs="宋体"/>
                <w:kern w:val="0"/>
              </w:rPr>
            </w:pPr>
          </w:p>
          <w:p>
            <w:pPr>
              <w:widowControl/>
              <w:spacing w:line="400" w:lineRule="exact"/>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1050" w:type="dxa"/>
            <w:vMerge w:val="continue"/>
            <w:tcBorders>
              <w:left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cs="宋体"/>
                <w:color w:val="000000" w:themeColor="text1"/>
                <w:kern w:val="0"/>
                <w14:textFill>
                  <w14:solidFill>
                    <w14:schemeClr w14:val="tx1"/>
                  </w14:solidFill>
                </w14:textFill>
              </w:rPr>
            </w:pPr>
          </w:p>
        </w:tc>
        <w:tc>
          <w:tcPr>
            <w:tcW w:w="601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szCs w:val="21"/>
              </w:rPr>
            </w:pPr>
            <w:r>
              <w:rPr>
                <w:rFonts w:hint="eastAsia" w:ascii="宋体" w:hAnsi="宋体"/>
                <w:szCs w:val="21"/>
              </w:rPr>
              <w:t>（7）应用互联网资料查询、调研方法，完成调研报告的撰写。分网络推广工具和方法，总结不同方法的优势，</w:t>
            </w:r>
            <w:r>
              <w:rPr>
                <w:rFonts w:hint="eastAsia" w:ascii="宋体" w:hAnsi="宋体"/>
              </w:rPr>
              <w:t>能够根据网站（店）推广目标，选择合理的推广方式，进行策划、实施和效果评估与优化。</w:t>
            </w:r>
          </w:p>
          <w:p>
            <w:pPr>
              <w:snapToGrid w:val="0"/>
              <w:jc w:val="left"/>
              <w:rPr>
                <w:rFonts w:ascii="仿宋" w:hAnsi="仿宋" w:cs="宋体"/>
                <w:kern w:val="0"/>
              </w:rPr>
            </w:pPr>
            <w:r>
              <w:rPr>
                <w:rFonts w:hint="eastAsia" w:ascii="宋体" w:hAnsi="宋体"/>
              </w:rPr>
              <w:t>（8）能够运用移动商务平台进行活动策划、营销推广、移动店铺的运营与管理。</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宋体"/>
                <w:b/>
                <w:bCs/>
                <w:kern w:val="0"/>
              </w:rPr>
            </w:pPr>
            <w:r>
              <w:rPr>
                <w:rFonts w:hint="eastAsia" w:ascii="仿宋" w:hAnsi="仿宋" w:cs="宋体"/>
                <w:kern w:val="0"/>
              </w:rPr>
              <w:t>《网络营销》</w:t>
            </w:r>
          </w:p>
          <w:p>
            <w:pPr>
              <w:widowControl/>
              <w:spacing w:line="400" w:lineRule="exact"/>
              <w:outlineLvl w:val="4"/>
              <w:rPr>
                <w:rFonts w:ascii="仿宋" w:hAnsi="仿宋" w:cs="宋体"/>
                <w:kern w:val="0"/>
              </w:rPr>
            </w:pPr>
            <w:r>
              <w:rPr>
                <w:rFonts w:hint="eastAsia" w:ascii="仿宋" w:hAnsi="仿宋" w:cs="宋体"/>
                <w:kern w:val="0"/>
              </w:rPr>
              <w:t>《移动商务推广》</w:t>
            </w:r>
          </w:p>
          <w:p>
            <w:pPr>
              <w:widowControl/>
              <w:spacing w:line="400" w:lineRule="exact"/>
              <w:outlineLvl w:val="4"/>
              <w:rPr>
                <w:rFonts w:ascii="仿宋" w:hAnsi="仿宋" w:cs="宋体"/>
                <w:kern w:val="0"/>
              </w:rPr>
            </w:pPr>
          </w:p>
          <w:p>
            <w:pPr>
              <w:widowControl/>
              <w:spacing w:line="400" w:lineRule="exact"/>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050" w:type="dxa"/>
            <w:vMerge w:val="continue"/>
            <w:tcBorders>
              <w:left w:val="single" w:color="auto" w:sz="4" w:space="0"/>
              <w:right w:val="single" w:color="auto" w:sz="4" w:space="0"/>
            </w:tcBorders>
            <w:vAlign w:val="center"/>
          </w:tcPr>
          <w:p>
            <w:pPr>
              <w:widowControl/>
              <w:spacing w:before="100" w:beforeAutospacing="1" w:after="100" w:afterAutospacing="1" w:line="400" w:lineRule="exact"/>
              <w:jc w:val="center"/>
              <w:outlineLvl w:val="4"/>
              <w:rPr>
                <w:color w:val="000000" w:themeColor="text1"/>
                <w14:textFill>
                  <w14:solidFill>
                    <w14:schemeClr w14:val="tx1"/>
                  </w14:solidFill>
                </w14:textFill>
              </w:rPr>
            </w:pPr>
          </w:p>
        </w:tc>
        <w:tc>
          <w:tcPr>
            <w:tcW w:w="601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jc w:val="left"/>
              <w:rPr>
                <w:rFonts w:ascii="仿宋" w:hAnsi="仿宋" w:cs="仿宋"/>
                <w:kern w:val="0"/>
              </w:rPr>
            </w:pPr>
            <w:r>
              <w:rPr>
                <w:rFonts w:hint="eastAsia" w:ascii="仿宋" w:hAnsi="仿宋" w:cs="仿宋"/>
              </w:rPr>
              <w:t>（9）掌握网络店铺</w:t>
            </w:r>
            <w:r>
              <w:rPr>
                <w:rFonts w:hint="eastAsia" w:ascii="仿宋" w:hAnsi="仿宋" w:cs="仿宋"/>
                <w:kern w:val="0"/>
              </w:rPr>
              <w:t>（含跨境网络店铺）的开设与定位，商品选品与采购流程，商品信息维护、网店订单管理与物流渠道的建立，掌握网店运营工具的运用，进行店铺外的推广与宣传。</w:t>
            </w:r>
          </w:p>
          <w:p>
            <w:pPr>
              <w:widowControl/>
              <w:shd w:val="clear" w:color="auto" w:fill="FFFFFF"/>
              <w:jc w:val="left"/>
              <w:rPr>
                <w:rFonts w:ascii="宋体" w:hAnsi="宋体"/>
                <w:szCs w:val="21"/>
              </w:rPr>
            </w:pPr>
            <w:r>
              <w:rPr>
                <w:rFonts w:hint="eastAsia" w:ascii="宋体" w:hAnsi="宋体"/>
                <w:szCs w:val="21"/>
              </w:rPr>
              <w:t>（10）掌握新媒体运营的工具和使用方法，掌握直播营销的流程，直播营销推广、实施与复盘优化的方法。</w:t>
            </w:r>
          </w:p>
          <w:p>
            <w:pPr>
              <w:widowControl/>
              <w:shd w:val="clear" w:color="auto" w:fill="FFFFFF"/>
              <w:jc w:val="left"/>
              <w:rPr>
                <w:rFonts w:ascii="仿宋" w:hAnsi="仿宋" w:cs="仿宋"/>
                <w:kern w:val="0"/>
              </w:rPr>
            </w:pPr>
            <w:r>
              <w:rPr>
                <w:rFonts w:hint="eastAsia" w:ascii="仿宋" w:hAnsi="仿宋" w:cs="仿宋"/>
                <w:szCs w:val="21"/>
              </w:rPr>
              <w:t>（11）掌握电子商务数据统计分析和报告撰写。</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仿宋"/>
                <w:kern w:val="0"/>
              </w:rPr>
            </w:pPr>
            <w:r>
              <w:rPr>
                <w:rFonts w:hint="eastAsia" w:ascii="仿宋" w:hAnsi="仿宋" w:cs="仿宋"/>
                <w:kern w:val="0"/>
              </w:rPr>
              <w:t>《网店运营推广》</w:t>
            </w:r>
          </w:p>
          <w:p>
            <w:pPr>
              <w:widowControl/>
              <w:spacing w:line="400" w:lineRule="exact"/>
              <w:outlineLvl w:val="4"/>
              <w:rPr>
                <w:rFonts w:ascii="仿宋" w:hAnsi="仿宋" w:cs="仿宋"/>
                <w:kern w:val="0"/>
              </w:rPr>
            </w:pPr>
            <w:r>
              <w:rPr>
                <w:rFonts w:hint="eastAsia" w:ascii="仿宋" w:hAnsi="仿宋" w:cs="仿宋"/>
                <w:b/>
                <w:bCs/>
                <w:kern w:val="0"/>
              </w:rPr>
              <w:t>（1+X</w:t>
            </w:r>
            <w:r>
              <w:rPr>
                <w:rFonts w:hint="eastAsia" w:ascii="仿宋" w:hAnsi="仿宋" w:cs="宋体"/>
                <w:b/>
                <w:bCs/>
                <w:kern w:val="0"/>
              </w:rPr>
              <w:t>课证融通</w:t>
            </w:r>
            <w:r>
              <w:rPr>
                <w:rFonts w:hint="eastAsia" w:ascii="仿宋" w:hAnsi="仿宋" w:cs="仿宋"/>
                <w:b/>
                <w:bCs/>
                <w:kern w:val="0"/>
              </w:rPr>
              <w:t>）</w:t>
            </w:r>
          </w:p>
          <w:p>
            <w:pPr>
              <w:widowControl/>
              <w:spacing w:line="400" w:lineRule="exact"/>
              <w:outlineLvl w:val="4"/>
              <w:rPr>
                <w:rFonts w:ascii="仿宋" w:hAnsi="仿宋" w:cs="仿宋"/>
                <w:kern w:val="0"/>
              </w:rPr>
            </w:pPr>
            <w:r>
              <w:rPr>
                <w:rFonts w:hint="eastAsia" w:ascii="仿宋" w:hAnsi="仿宋" w:cs="仿宋"/>
                <w:kern w:val="0"/>
              </w:rPr>
              <w:t>《电子商务数据分析》</w:t>
            </w:r>
          </w:p>
          <w:p>
            <w:pPr>
              <w:widowControl/>
              <w:spacing w:line="400" w:lineRule="exact"/>
              <w:outlineLvl w:val="4"/>
              <w:rPr>
                <w:rFonts w:ascii="仿宋" w:hAnsi="仿宋" w:cs="仿宋"/>
                <w:kern w:val="0"/>
              </w:rPr>
            </w:pPr>
            <w:r>
              <w:rPr>
                <w:rFonts w:hint="eastAsia" w:ascii="仿宋" w:hAnsi="仿宋" w:cs="仿宋"/>
                <w:b/>
                <w:bCs/>
                <w:kern w:val="0"/>
              </w:rPr>
              <w:t>（1+X</w:t>
            </w:r>
            <w:r>
              <w:rPr>
                <w:rFonts w:hint="eastAsia" w:ascii="仿宋" w:hAnsi="仿宋" w:cs="宋体"/>
                <w:b/>
                <w:bCs/>
                <w:kern w:val="0"/>
              </w:rPr>
              <w:t>课证融通</w:t>
            </w:r>
            <w:r>
              <w:rPr>
                <w:rFonts w:hint="eastAsia" w:ascii="仿宋" w:hAnsi="仿宋" w:cs="仿宋"/>
                <w:b/>
                <w:bCs/>
                <w:kern w:val="0"/>
              </w:rPr>
              <w:t>）</w:t>
            </w:r>
          </w:p>
          <w:p>
            <w:pPr>
              <w:widowControl/>
              <w:spacing w:line="400" w:lineRule="exact"/>
              <w:outlineLvl w:val="4"/>
              <w:rPr>
                <w:rFonts w:ascii="仿宋" w:hAnsi="仿宋" w:cs="仿宋"/>
                <w:kern w:val="0"/>
              </w:rPr>
            </w:pPr>
            <w:r>
              <w:rPr>
                <w:rFonts w:hint="eastAsia" w:ascii="仿宋" w:hAnsi="仿宋" w:cs="仿宋"/>
                <w:kern w:val="0"/>
              </w:rPr>
              <w:t>《新媒体运营》</w:t>
            </w:r>
          </w:p>
          <w:p>
            <w:pPr>
              <w:widowControl/>
              <w:spacing w:line="400" w:lineRule="exact"/>
              <w:outlineLvl w:val="4"/>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050" w:type="dxa"/>
            <w:tcBorders>
              <w:left w:val="single" w:color="auto" w:sz="4" w:space="0"/>
              <w:right w:val="single" w:color="auto" w:sz="4" w:space="0"/>
            </w:tcBorders>
            <w:vAlign w:val="center"/>
          </w:tcPr>
          <w:p>
            <w:pPr>
              <w:widowControl/>
              <w:spacing w:before="100" w:beforeAutospacing="1" w:after="100" w:afterAutospacing="1" w:line="400" w:lineRule="exact"/>
              <w:jc w:val="center"/>
              <w:outlineLvl w:val="4"/>
              <w:rPr>
                <w:color w:val="000000" w:themeColor="text1"/>
                <w14:textFill>
                  <w14:solidFill>
                    <w14:schemeClr w14:val="tx1"/>
                  </w14:solidFill>
                </w14:textFill>
              </w:rPr>
            </w:pPr>
            <w:r>
              <w:rPr>
                <w:rFonts w:hint="eastAsia"/>
                <w:b/>
                <w:bCs/>
                <w:color w:val="000000" w:themeColor="text1"/>
                <w14:textFill>
                  <w14:solidFill>
                    <w14:schemeClr w14:val="tx1"/>
                  </w14:solidFill>
                </w14:textFill>
              </w:rPr>
              <w:t>专业拓展知识</w:t>
            </w:r>
          </w:p>
        </w:tc>
        <w:tc>
          <w:tcPr>
            <w:tcW w:w="601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jc w:val="left"/>
              <w:rPr>
                <w:rFonts w:ascii="宋体" w:hAnsi="宋体"/>
                <w:kern w:val="0"/>
              </w:rPr>
            </w:pPr>
            <w:r>
              <w:rPr>
                <w:rFonts w:hint="eastAsia" w:ascii="宋体" w:hAnsi="宋体"/>
                <w:kern w:val="0"/>
              </w:rPr>
              <w:t>（12）了解电子商务物流的产生，掌握商务模式的运行及其创新、关键技术和未来的发展趋势等内容。掌握电商企业需求的类型、库存控制的方法及采购数量的确定；熟悉企业采购计划的编制；理解网络供应商的定价方法、产品成本分析方法。</w:t>
            </w:r>
          </w:p>
          <w:p>
            <w:pPr>
              <w:widowControl/>
              <w:shd w:val="clear" w:color="auto" w:fill="FFFFFF"/>
              <w:jc w:val="left"/>
              <w:rPr>
                <w:rFonts w:ascii="仿宋" w:hAnsi="仿宋" w:cs="仿宋"/>
              </w:rPr>
            </w:pPr>
            <w:r>
              <w:rPr>
                <w:rFonts w:hint="eastAsia" w:ascii="宋体" w:hAnsi="宋体"/>
                <w:kern w:val="0"/>
              </w:rPr>
              <w:t>（13）掌握国际贸易中电子采购、电子报检、电子报关、网上核销与退税等的操作与处理。了解电子商务与国际贸易常用词语。</w:t>
            </w:r>
            <w:r>
              <w:rPr>
                <w:rFonts w:hint="eastAsia" w:ascii="仿宋" w:hAnsi="仿宋" w:cs="仿宋"/>
                <w:kern w:val="0"/>
              </w:rPr>
              <w:t>掌握跨境电子商务平台操作和运营的基本知识，</w:t>
            </w:r>
            <w:r>
              <w:rPr>
                <w:rFonts w:hint="eastAsia" w:ascii="仿宋" w:hAnsi="仿宋" w:cs="仿宋"/>
              </w:rPr>
              <w:t>了解有关的国际贸易惯例及法律知识，开展跨境电子商务实操。</w:t>
            </w:r>
          </w:p>
          <w:p>
            <w:pPr>
              <w:widowControl/>
              <w:shd w:val="clear" w:color="auto" w:fill="FFFFFF"/>
              <w:jc w:val="left"/>
              <w:rPr>
                <w:rFonts w:ascii="仿宋" w:hAnsi="仿宋" w:cs="仿宋"/>
              </w:rPr>
            </w:pPr>
            <w:r>
              <w:rPr>
                <w:rFonts w:hint="eastAsia" w:ascii="仿宋" w:hAnsi="仿宋" w:cs="仿宋"/>
              </w:rPr>
              <w:t>（14）能够利用所学知识开展电商创新创业项目。</w:t>
            </w:r>
          </w:p>
        </w:tc>
        <w:tc>
          <w:tcPr>
            <w:tcW w:w="265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outlineLvl w:val="4"/>
              <w:rPr>
                <w:rFonts w:ascii="仿宋" w:hAnsi="仿宋" w:cs="仿宋"/>
                <w:kern w:val="0"/>
              </w:rPr>
            </w:pPr>
            <w:r>
              <w:rPr>
                <w:rFonts w:hint="eastAsia" w:ascii="仿宋" w:hAnsi="仿宋" w:cs="仿宋"/>
                <w:kern w:val="0"/>
              </w:rPr>
              <w:t>《电子商务物流实务》《选品与采购》</w:t>
            </w:r>
          </w:p>
          <w:p>
            <w:pPr>
              <w:widowControl/>
              <w:spacing w:line="400" w:lineRule="exact"/>
              <w:outlineLvl w:val="4"/>
              <w:rPr>
                <w:rFonts w:ascii="仿宋" w:hAnsi="仿宋" w:cs="仿宋"/>
                <w:kern w:val="0"/>
              </w:rPr>
            </w:pPr>
            <w:r>
              <w:rPr>
                <w:rFonts w:hint="eastAsia" w:ascii="仿宋" w:hAnsi="仿宋" w:cs="仿宋"/>
                <w:kern w:val="0"/>
              </w:rPr>
              <w:t>《电子商务与国际贸易》</w:t>
            </w:r>
          </w:p>
          <w:p>
            <w:pPr>
              <w:widowControl/>
              <w:spacing w:line="400" w:lineRule="exact"/>
              <w:outlineLvl w:val="4"/>
              <w:rPr>
                <w:rFonts w:ascii="仿宋" w:hAnsi="仿宋" w:cs="仿宋"/>
                <w:kern w:val="0"/>
              </w:rPr>
            </w:pPr>
            <w:r>
              <w:rPr>
                <w:rFonts w:hint="eastAsia" w:ascii="仿宋" w:hAnsi="仿宋" w:cs="仿宋"/>
                <w:kern w:val="0"/>
              </w:rPr>
              <w:t>《跨境电子商务操作实务》</w:t>
            </w:r>
          </w:p>
          <w:p>
            <w:pPr>
              <w:widowControl/>
              <w:spacing w:line="400" w:lineRule="exact"/>
              <w:outlineLvl w:val="4"/>
              <w:rPr>
                <w:rFonts w:ascii="仿宋" w:hAnsi="仿宋" w:cs="仿宋"/>
                <w:kern w:val="0"/>
              </w:rPr>
            </w:pPr>
            <w:r>
              <w:rPr>
                <w:rFonts w:hint="eastAsia" w:ascii="仿宋" w:hAnsi="仿宋" w:cs="仿宋"/>
                <w:kern w:val="0"/>
              </w:rPr>
              <w:t>《电子商务创新创业孵化》</w:t>
            </w:r>
          </w:p>
          <w:p>
            <w:pPr>
              <w:widowControl/>
              <w:spacing w:line="400" w:lineRule="exact"/>
              <w:outlineLvl w:val="4"/>
              <w:rPr>
                <w:rFonts w:ascii="仿宋" w:hAnsi="仿宋" w:cs="仿宋"/>
                <w:kern w:val="0"/>
              </w:rPr>
            </w:pPr>
            <w:r>
              <w:rPr>
                <w:rFonts w:hint="eastAsia" w:ascii="仿宋" w:hAnsi="仿宋" w:cs="仿宋"/>
                <w:kern w:val="0"/>
              </w:rPr>
              <w:t>（含跨境电商）</w:t>
            </w:r>
          </w:p>
          <w:p>
            <w:pPr>
              <w:widowControl/>
              <w:spacing w:line="400" w:lineRule="exact"/>
              <w:outlineLvl w:val="4"/>
              <w:rPr>
                <w:rFonts w:ascii="仿宋" w:hAnsi="仿宋" w:cs="仿宋"/>
                <w:kern w:val="0"/>
              </w:rPr>
            </w:pPr>
          </w:p>
          <w:p>
            <w:pPr>
              <w:widowControl/>
              <w:spacing w:line="400" w:lineRule="exact"/>
              <w:outlineLvl w:val="4"/>
              <w:rPr>
                <w:rFonts w:ascii="仿宋" w:hAnsi="仿宋" w:cs="仿宋"/>
                <w:kern w:val="0"/>
              </w:rPr>
            </w:pPr>
          </w:p>
          <w:p>
            <w:pPr>
              <w:widowControl/>
              <w:spacing w:line="400" w:lineRule="exact"/>
              <w:outlineLvl w:val="4"/>
              <w:rPr>
                <w:rFonts w:ascii="仿宋" w:hAnsi="仿宋" w:cs="仿宋"/>
                <w:kern w:val="0"/>
              </w:rPr>
            </w:pPr>
          </w:p>
        </w:tc>
      </w:tr>
    </w:tbl>
    <w:p>
      <w:pPr>
        <w:snapToGrid w:val="0"/>
        <w:jc w:val="center"/>
        <w:rPr>
          <w:rFonts w:ascii="仿宋" w:hAnsi="仿宋" w:cs="仿宋"/>
          <w:sz w:val="21"/>
          <w:szCs w:val="21"/>
        </w:rPr>
      </w:pPr>
      <w:r>
        <w:rPr>
          <w:rFonts w:hint="eastAsia" w:ascii="仿宋" w:hAnsi="仿宋" w:cs="仿宋"/>
          <w:sz w:val="21"/>
          <w:szCs w:val="21"/>
        </w:rPr>
        <w:t>表2 专业知识与相应课程</w:t>
      </w:r>
    </w:p>
    <w:p>
      <w:pPr>
        <w:numPr>
          <w:ilvl w:val="0"/>
          <w:numId w:val="3"/>
        </w:numPr>
        <w:snapToGrid w:val="0"/>
        <w:jc w:val="left"/>
        <w:rPr>
          <w:rFonts w:ascii="黑体" w:hAnsi="黑体" w:eastAsia="黑体" w:cs="黑体"/>
          <w:bCs/>
          <w:szCs w:val="21"/>
        </w:rPr>
      </w:pPr>
      <w:r>
        <w:rPr>
          <w:rFonts w:hint="eastAsia" w:ascii="黑体" w:hAnsi="黑体" w:eastAsia="黑体" w:cs="黑体"/>
          <w:bCs/>
          <w:szCs w:val="21"/>
        </w:rPr>
        <w:t>能力</w:t>
      </w:r>
    </w:p>
    <w:p>
      <w:pPr>
        <w:snapToGrid w:val="0"/>
        <w:ind w:firstLine="482" w:firstLineChars="200"/>
        <w:jc w:val="left"/>
        <w:rPr>
          <w:rFonts w:ascii="宋体" w:hAnsi="宋体"/>
          <w:b/>
          <w:bCs/>
          <w:color w:val="000000"/>
          <w:szCs w:val="21"/>
        </w:rPr>
      </w:pPr>
      <w:r>
        <w:rPr>
          <w:rFonts w:hint="eastAsia" w:ascii="宋体" w:hAnsi="宋体"/>
          <w:b/>
          <w:bCs/>
          <w:color w:val="000000"/>
          <w:szCs w:val="21"/>
        </w:rPr>
        <w:t>1.通用职业能力</w:t>
      </w:r>
    </w:p>
    <w:p>
      <w:pPr>
        <w:snapToGrid w:val="0"/>
        <w:ind w:firstLine="480" w:firstLineChars="200"/>
        <w:jc w:val="left"/>
      </w:pPr>
      <w:r>
        <w:rPr>
          <w:rFonts w:hint="eastAsia"/>
        </w:rPr>
        <w:t>（1）具有探究学习、终身学习、分析问题和解决问题的能力，</w:t>
      </w:r>
      <w:r>
        <w:rPr>
          <w:rFonts w:hint="eastAsia" w:ascii="宋体" w:hAnsi="宋体"/>
          <w:szCs w:val="21"/>
        </w:rPr>
        <w:t>能响应商贸服务业技术进步，进行创造性学习能力。</w:t>
      </w:r>
    </w:p>
    <w:p>
      <w:pPr>
        <w:ind w:firstLine="480" w:firstLineChars="200"/>
      </w:pPr>
      <w:r>
        <w:rPr>
          <w:rFonts w:hint="eastAsia"/>
        </w:rPr>
        <w:t>（2）具有良好的语言、文字表达能力和沟通能力。</w:t>
      </w:r>
    </w:p>
    <w:p>
      <w:pPr>
        <w:snapToGrid w:val="0"/>
        <w:ind w:firstLine="480" w:firstLineChars="200"/>
        <w:jc w:val="left"/>
        <w:rPr>
          <w:rFonts w:ascii="宋体" w:hAnsi="宋体"/>
          <w:szCs w:val="21"/>
        </w:rPr>
      </w:pPr>
      <w:r>
        <w:rPr>
          <w:rFonts w:hint="eastAsia" w:ascii="宋体" w:hAnsi="宋体"/>
          <w:szCs w:val="21"/>
        </w:rPr>
        <w:t>（3）</w:t>
      </w:r>
      <w:r>
        <w:rPr>
          <w:rFonts w:hint="eastAsia"/>
        </w:rPr>
        <w:t>信息技术应用能力：能够熟练应用办公软件，进行文档排版、方案演示、简单的数据分析等。</w:t>
      </w:r>
    </w:p>
    <w:p>
      <w:pPr>
        <w:snapToGrid w:val="0"/>
        <w:ind w:firstLine="480" w:firstLineChars="200"/>
        <w:jc w:val="left"/>
        <w:rPr>
          <w:rFonts w:ascii="宋体" w:hAnsi="宋体"/>
          <w:szCs w:val="21"/>
        </w:rPr>
      </w:pPr>
      <w:r>
        <w:rPr>
          <w:rFonts w:hint="eastAsia" w:ascii="宋体" w:hAnsi="宋体"/>
          <w:szCs w:val="21"/>
        </w:rPr>
        <w:t>（3）创新创业能力：有开阔视野和创新创业意识，熟悉创业流程和互联网行业规则特点。</w:t>
      </w:r>
    </w:p>
    <w:p>
      <w:pPr>
        <w:snapToGrid w:val="0"/>
        <w:ind w:firstLine="480" w:firstLineChars="200"/>
        <w:jc w:val="left"/>
        <w:rPr>
          <w:rFonts w:ascii="宋体" w:hAnsi="宋体"/>
          <w:szCs w:val="21"/>
        </w:rPr>
      </w:pPr>
      <w:r>
        <w:rPr>
          <w:rFonts w:hint="eastAsia" w:ascii="宋体" w:hAnsi="宋体"/>
          <w:szCs w:val="21"/>
        </w:rPr>
        <w:t>（4）实践动手能力：能将理论应用于实践，使理论和实践相结合，灵活、创造性地利用所学理论为生产服务。</w:t>
      </w:r>
    </w:p>
    <w:p>
      <w:pPr>
        <w:snapToGrid w:val="0"/>
        <w:ind w:firstLine="480" w:firstLineChars="200"/>
        <w:jc w:val="left"/>
        <w:rPr>
          <w:rFonts w:ascii="宋体" w:hAnsi="宋体"/>
          <w:szCs w:val="21"/>
        </w:rPr>
      </w:pPr>
      <w:r>
        <w:rPr>
          <w:rFonts w:hint="eastAsia" w:ascii="宋体" w:hAnsi="宋体"/>
          <w:szCs w:val="21"/>
        </w:rPr>
        <w:t>（5）沟通表达能力：掌握沟通的基本方法与礼仪，能合理运用沟通与表达技巧，建立良好的人际关系。</w:t>
      </w:r>
    </w:p>
    <w:p>
      <w:pPr>
        <w:snapToGrid w:val="0"/>
        <w:ind w:firstLine="480" w:firstLineChars="200"/>
        <w:jc w:val="left"/>
        <w:rPr>
          <w:rFonts w:ascii="宋体" w:hAnsi="宋体"/>
          <w:szCs w:val="21"/>
        </w:rPr>
      </w:pPr>
      <w:r>
        <w:rPr>
          <w:rFonts w:hint="eastAsia" w:ascii="宋体" w:hAnsi="宋体"/>
          <w:szCs w:val="21"/>
        </w:rPr>
        <w:t>（6）团队合作能力：能够和团队成员协作相处，服从管理和安排，具有良好的独立处事能力和抗压能力。</w:t>
      </w:r>
    </w:p>
    <w:p>
      <w:pPr>
        <w:snapToGrid w:val="0"/>
        <w:ind w:firstLine="480" w:firstLineChars="200"/>
        <w:jc w:val="left"/>
        <w:rPr>
          <w:rFonts w:ascii="黑体" w:hAnsi="黑体" w:eastAsia="黑体" w:cs="黑体"/>
          <w:bCs/>
          <w:szCs w:val="21"/>
        </w:rPr>
      </w:pPr>
      <w:r>
        <w:rPr>
          <w:rFonts w:hint="eastAsia" w:ascii="宋体" w:hAnsi="宋体"/>
          <w:szCs w:val="21"/>
        </w:rPr>
        <w:t>（7）分析解决问题能力:</w:t>
      </w:r>
      <w:r>
        <w:rPr>
          <w:rFonts w:hint="eastAsia"/>
        </w:rPr>
        <w:t xml:space="preserve"> </w:t>
      </w:r>
      <w:r>
        <w:rPr>
          <w:rFonts w:hint="eastAsia" w:ascii="宋体" w:hAnsi="宋体"/>
          <w:szCs w:val="21"/>
        </w:rPr>
        <w:t>具备全面的专业知识，能灵活运用既有的知识、技能有规划、有方法、有步骤地处理并解决问题。</w:t>
      </w:r>
    </w:p>
    <w:p>
      <w:pPr>
        <w:snapToGrid w:val="0"/>
        <w:jc w:val="left"/>
        <w:rPr>
          <w:rFonts w:ascii="仿宋" w:hAnsi="仿宋" w:cs="仿宋"/>
          <w:b/>
          <w:szCs w:val="21"/>
        </w:rPr>
      </w:pPr>
      <w:r>
        <w:rPr>
          <w:rFonts w:hint="eastAsia" w:ascii="仿宋" w:hAnsi="仿宋" w:cs="仿宋"/>
          <w:b/>
          <w:szCs w:val="21"/>
        </w:rPr>
        <w:t xml:space="preserve">  2.专业能力</w:t>
      </w:r>
    </w:p>
    <w:tbl>
      <w:tblPr>
        <w:tblStyle w:val="8"/>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235"/>
        <w:gridCol w:w="4795"/>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0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宋体"/>
                <w:kern w:val="0"/>
              </w:rPr>
            </w:pPr>
            <w:r>
              <w:rPr>
                <w:rFonts w:hint="eastAsia" w:ascii="仿宋" w:hAnsi="仿宋" w:cs="宋体"/>
                <w:kern w:val="0"/>
              </w:rPr>
              <w:t>工作岗位（群）</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岗位</w:t>
            </w:r>
          </w:p>
        </w:tc>
        <w:tc>
          <w:tcPr>
            <w:tcW w:w="479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典型工作任务</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1011" w:type="dxa"/>
            <w:vMerge w:val="restart"/>
            <w:tcBorders>
              <w:top w:val="single" w:color="auto" w:sz="4" w:space="0"/>
              <w:left w:val="single" w:color="auto" w:sz="4" w:space="0"/>
              <w:right w:val="single" w:color="auto" w:sz="4" w:space="0"/>
            </w:tcBorders>
            <w:vAlign w:val="center"/>
          </w:tcPr>
          <w:p>
            <w:pPr>
              <w:widowControl/>
              <w:jc w:val="left"/>
              <w:rPr>
                <w:rFonts w:ascii="仿宋" w:hAnsi="仿宋" w:cs="宋体"/>
                <w:kern w:val="0"/>
              </w:rPr>
            </w:pPr>
            <w:r>
              <w:rPr>
                <w:rFonts w:hint="eastAsia" w:ascii="仿宋" w:hAnsi="仿宋" w:cs="宋体"/>
                <w:b/>
                <w:kern w:val="0"/>
              </w:rPr>
              <w:t>基本技术岗位群</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宋体"/>
                <w:bCs/>
                <w:kern w:val="0"/>
              </w:rPr>
            </w:pPr>
            <w:r>
              <w:rPr>
                <w:rFonts w:hint="eastAsia" w:ascii="仿宋" w:hAnsi="仿宋" w:cs="宋体"/>
                <w:bCs/>
                <w:kern w:val="0"/>
              </w:rPr>
              <w:t>网络客户服务专员</w:t>
            </w:r>
          </w:p>
        </w:tc>
        <w:tc>
          <w:tcPr>
            <w:tcW w:w="47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cs="宋体"/>
                <w:kern w:val="0"/>
              </w:rPr>
            </w:pPr>
            <w:r>
              <w:rPr>
                <w:rFonts w:hint="eastAsia" w:ascii="仿宋" w:hAnsi="仿宋" w:cs="宋体"/>
                <w:kern w:val="0"/>
              </w:rPr>
              <w:t>（1）掌握电子商务交易流程，具备网络推广意识和基本的能力。</w:t>
            </w:r>
          </w:p>
          <w:p>
            <w:pPr>
              <w:adjustRightInd w:val="0"/>
              <w:snapToGrid w:val="0"/>
              <w:rPr>
                <w:rFonts w:ascii="仿宋" w:hAnsi="仿宋" w:cs="宋体"/>
                <w:kern w:val="0"/>
              </w:rPr>
            </w:pPr>
            <w:r>
              <w:rPr>
                <w:rFonts w:hint="eastAsia" w:ascii="仿宋" w:hAnsi="仿宋" w:cs="宋体"/>
                <w:kern w:val="0"/>
              </w:rPr>
              <w:t>（2）拥有良好的心理素质，与人沟通能力强。</w:t>
            </w:r>
          </w:p>
          <w:p>
            <w:pPr>
              <w:adjustRightInd w:val="0"/>
              <w:snapToGrid w:val="0"/>
              <w:rPr>
                <w:rFonts w:ascii="宋体" w:hAnsi="宋体"/>
              </w:rPr>
            </w:pPr>
            <w:r>
              <w:rPr>
                <w:rFonts w:hint="eastAsia" w:ascii="宋体" w:hAnsi="宋体"/>
              </w:rPr>
              <w:t>（3）应对客户咨询、异议、处理客户投诉，进行客户个性化服务等。</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《客户关系管理》</w:t>
            </w:r>
          </w:p>
          <w:p>
            <w:pPr>
              <w:widowControl/>
              <w:outlineLvl w:val="4"/>
              <w:rPr>
                <w:rFonts w:ascii="仿宋" w:hAnsi="仿宋" w:cs="宋体"/>
                <w:b/>
                <w:bCs/>
                <w:kern w:val="0"/>
              </w:rPr>
            </w:pPr>
            <w:r>
              <w:rPr>
                <w:rFonts w:hint="eastAsia" w:ascii="仿宋" w:hAnsi="仿宋" w:cs="宋体"/>
                <w:kern w:val="0"/>
              </w:rPr>
              <w:t>《网络客户服务实务》</w:t>
            </w:r>
            <w:r>
              <w:rPr>
                <w:rFonts w:hint="eastAsia" w:ascii="仿宋" w:hAnsi="仿宋" w:cs="宋体"/>
                <w:b/>
                <w:bCs/>
                <w:kern w:val="0"/>
              </w:rPr>
              <w:t>（产教融合；课赛融通）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7" w:hRule="atLeast"/>
        </w:trPr>
        <w:tc>
          <w:tcPr>
            <w:tcW w:w="1011" w:type="dxa"/>
            <w:vMerge w:val="continue"/>
            <w:tcBorders>
              <w:left w:val="single" w:color="auto" w:sz="4" w:space="0"/>
              <w:right w:val="single" w:color="auto" w:sz="4" w:space="0"/>
            </w:tcBorders>
            <w:vAlign w:val="center"/>
          </w:tcPr>
          <w:p>
            <w:pPr>
              <w:widowControl/>
              <w:jc w:val="left"/>
              <w:rPr>
                <w:rFonts w:ascii="仿宋" w:hAnsi="仿宋" w:cs="宋体"/>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美工设计专员</w:t>
            </w:r>
          </w:p>
        </w:tc>
        <w:tc>
          <w:tcPr>
            <w:tcW w:w="47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left"/>
              <w:rPr>
                <w:rFonts w:ascii="仿宋" w:hAnsi="仿宋" w:cs="仿宋"/>
                <w:kern w:val="0"/>
              </w:rPr>
            </w:pPr>
            <w:r>
              <w:rPr>
                <w:rFonts w:hint="eastAsia" w:ascii="仿宋" w:hAnsi="仿宋" w:cs="仿宋"/>
                <w:kern w:val="0"/>
              </w:rPr>
              <w:t>（4）具有图形图像处理技能，</w:t>
            </w:r>
            <w:r>
              <w:rPr>
                <w:rFonts w:hint="eastAsia" w:ascii="仿宋" w:hAnsi="仿宋" w:cs="仿宋"/>
                <w:kern w:val="0"/>
                <w:lang w:val="zh-CN"/>
              </w:rPr>
              <w:t>具备商品拍摄、图片处理、广告设计及优化等能力，</w:t>
            </w:r>
            <w:r>
              <w:rPr>
                <w:rFonts w:hint="eastAsia" w:ascii="仿宋" w:hAnsi="仿宋" w:cs="仿宋"/>
              </w:rPr>
              <w:t>制作突出商品卖点的商品图片，</w:t>
            </w:r>
            <w:r>
              <w:rPr>
                <w:rFonts w:hint="eastAsia" w:ascii="仿宋" w:hAnsi="仿宋" w:cs="仿宋"/>
                <w:kern w:val="0"/>
              </w:rPr>
              <w:t>设计商品主图、促销banner、详情页等</w:t>
            </w:r>
            <w:r>
              <w:rPr>
                <w:rFonts w:hint="eastAsia" w:ascii="仿宋" w:hAnsi="仿宋" w:cs="仿宋"/>
              </w:rPr>
              <w:t>提高用户关注度。</w:t>
            </w:r>
          </w:p>
          <w:p>
            <w:pPr>
              <w:autoSpaceDE w:val="0"/>
              <w:autoSpaceDN w:val="0"/>
              <w:adjustRightInd w:val="0"/>
              <w:snapToGrid w:val="0"/>
              <w:jc w:val="left"/>
              <w:rPr>
                <w:rFonts w:ascii="仿宋" w:hAnsi="仿宋" w:cs="仿宋"/>
                <w:kern w:val="0"/>
              </w:rPr>
            </w:pPr>
            <w:r>
              <w:rPr>
                <w:rFonts w:hint="eastAsia" w:ascii="仿宋" w:hAnsi="仿宋" w:cs="仿宋"/>
              </w:rPr>
              <w:t>（5）能够对PC端店铺和移动端店铺进行装修设计，</w:t>
            </w:r>
            <w:r>
              <w:rPr>
                <w:rFonts w:hint="eastAsia" w:ascii="仿宋" w:hAnsi="仿宋" w:cs="仿宋"/>
                <w:kern w:val="0"/>
              </w:rPr>
              <w:t>具备软文编辑排版能力，具有较高的</w:t>
            </w:r>
            <w:r>
              <w:rPr>
                <w:rFonts w:hint="eastAsia" w:ascii="仿宋" w:hAnsi="仿宋" w:cs="仿宋"/>
                <w:kern w:val="0"/>
                <w:lang w:val="zh-CN"/>
              </w:rPr>
              <w:t>审美观和视觉</w:t>
            </w:r>
            <w:r>
              <w:rPr>
                <w:rFonts w:hint="eastAsia" w:ascii="仿宋" w:hAnsi="仿宋" w:cs="仿宋"/>
                <w:kern w:val="0"/>
              </w:rPr>
              <w:t>设计能力。</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《图形图像处理》</w:t>
            </w:r>
          </w:p>
          <w:p>
            <w:pPr>
              <w:widowControl/>
              <w:jc w:val="left"/>
              <w:outlineLvl w:val="4"/>
              <w:rPr>
                <w:rFonts w:ascii="仿宋" w:hAnsi="仿宋" w:cs="宋体"/>
                <w:kern w:val="0"/>
              </w:rPr>
            </w:pPr>
            <w:r>
              <w:rPr>
                <w:rFonts w:hint="eastAsia" w:ascii="仿宋" w:hAnsi="仿宋" w:cs="宋体"/>
                <w:kern w:val="0"/>
              </w:rPr>
              <w:t xml:space="preserve">《网店美工》 </w:t>
            </w:r>
          </w:p>
          <w:p>
            <w:pPr>
              <w:widowControl/>
              <w:jc w:val="left"/>
              <w:outlineLvl w:val="4"/>
              <w:rPr>
                <w:rFonts w:ascii="仿宋" w:hAnsi="仿宋" w:cs="宋体"/>
                <w:b/>
                <w:bCs/>
                <w:kern w:val="0"/>
              </w:rPr>
            </w:pPr>
            <w:r>
              <w:rPr>
                <w:rFonts w:hint="eastAsia" w:ascii="仿宋" w:hAnsi="仿宋" w:cs="宋体"/>
                <w:b/>
                <w:bCs/>
                <w:kern w:val="0"/>
              </w:rPr>
              <w:t>（课赛融通；</w:t>
            </w:r>
          </w:p>
          <w:p>
            <w:pPr>
              <w:widowControl/>
              <w:jc w:val="left"/>
              <w:outlineLvl w:val="4"/>
              <w:rPr>
                <w:rFonts w:ascii="仿宋" w:hAnsi="仿宋" w:cs="宋体"/>
                <w:b/>
                <w:bCs/>
                <w:kern w:val="0"/>
              </w:rPr>
            </w:pPr>
            <w:r>
              <w:rPr>
                <w:rFonts w:hint="eastAsia" w:ascii="仿宋" w:hAnsi="仿宋" w:cs="宋体"/>
                <w:b/>
                <w:bCs/>
                <w:kern w:val="0"/>
              </w:rPr>
              <w:t>1+X课证融通）</w:t>
            </w:r>
          </w:p>
          <w:p>
            <w:pPr>
              <w:widowControl/>
              <w:outlineLvl w:val="4"/>
              <w:rPr>
                <w:rFonts w:ascii="仿宋" w:hAnsi="仿宋" w:cs="宋体"/>
                <w:b/>
                <w:bCs/>
                <w:kern w:val="0"/>
              </w:rPr>
            </w:pPr>
          </w:p>
          <w:p>
            <w:pPr>
              <w:widowControl/>
              <w:outlineLvl w:val="4"/>
              <w:rPr>
                <w:rFonts w:ascii="仿宋" w:hAnsi="仿宋" w:cs="宋体"/>
                <w:kern w:val="0"/>
              </w:rPr>
            </w:pPr>
          </w:p>
          <w:p>
            <w:pPr>
              <w:widowControl/>
              <w:outlineLvl w:val="4"/>
              <w:rPr>
                <w:rFonts w:ascii="仿宋" w:hAnsi="仿宋" w:cs="宋体"/>
                <w:b/>
                <w:bCs/>
                <w:kern w:val="0"/>
              </w:rPr>
            </w:pP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Merge w:val="continue"/>
            <w:tcBorders>
              <w:left w:val="single" w:color="auto" w:sz="4" w:space="0"/>
              <w:right w:val="single" w:color="auto" w:sz="4" w:space="0"/>
            </w:tcBorders>
            <w:vAlign w:val="center"/>
          </w:tcPr>
          <w:p>
            <w:pPr>
              <w:widowControl/>
              <w:jc w:val="left"/>
              <w:rPr>
                <w:rFonts w:ascii="仿宋" w:hAnsi="仿宋" w:cs="宋体"/>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网页设计专员</w:t>
            </w:r>
          </w:p>
        </w:tc>
        <w:tc>
          <w:tcPr>
            <w:tcW w:w="4795" w:type="dxa"/>
            <w:tcBorders>
              <w:top w:val="single" w:color="auto" w:sz="4" w:space="0"/>
              <w:left w:val="single" w:color="auto" w:sz="4" w:space="0"/>
              <w:bottom w:val="single" w:color="auto" w:sz="4" w:space="0"/>
              <w:right w:val="single" w:color="auto" w:sz="4" w:space="0"/>
            </w:tcBorders>
            <w:vAlign w:val="center"/>
          </w:tcPr>
          <w:p>
            <w:pPr>
              <w:numPr>
                <w:ilvl w:val="0"/>
                <w:numId w:val="4"/>
              </w:numPr>
              <w:autoSpaceDE w:val="0"/>
              <w:autoSpaceDN w:val="0"/>
              <w:adjustRightInd w:val="0"/>
              <w:snapToGrid w:val="0"/>
              <w:jc w:val="left"/>
              <w:rPr>
                <w:rFonts w:ascii="仿宋" w:hAnsi="仿宋" w:cs="仿宋"/>
                <w:kern w:val="0"/>
              </w:rPr>
            </w:pPr>
            <w:r>
              <w:rPr>
                <w:rFonts w:hint="eastAsia" w:ascii="仿宋" w:hAnsi="仿宋" w:cs="仿宋"/>
                <w:kern w:val="0"/>
              </w:rPr>
              <w:t>了解商务网页架构布局，设计制作电子商务网站（店）页面，进行网站（店）内容模块的维护与更新。</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《电子商务网页设计与制作》</w:t>
            </w: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Merge w:val="continue"/>
            <w:tcBorders>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网络信息编辑专员</w:t>
            </w:r>
          </w:p>
        </w:tc>
        <w:tc>
          <w:tcPr>
            <w:tcW w:w="47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left"/>
              <w:rPr>
                <w:rFonts w:ascii="仿宋" w:hAnsi="仿宋" w:cs="仿宋"/>
                <w:kern w:val="0"/>
              </w:rPr>
            </w:pPr>
            <w:r>
              <w:rPr>
                <w:rFonts w:hint="eastAsia" w:ascii="仿宋" w:hAnsi="仿宋" w:cs="仿宋"/>
                <w:kern w:val="0"/>
              </w:rPr>
              <w:t>（7）掌握电子商务系统的规划与设计，开展电商平台文案策划，软文编辑，信息流广告制作，根据要求进行不同类型网站内容策划与制作，栏目专题制作、社区内容管理等。</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《网络信息编辑》</w:t>
            </w: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4" w:hRule="atLeast"/>
        </w:trPr>
        <w:tc>
          <w:tcPr>
            <w:tcW w:w="1011" w:type="dxa"/>
            <w:vMerge w:val="restart"/>
            <w:tcBorders>
              <w:top w:val="single" w:color="auto" w:sz="4" w:space="0"/>
              <w:left w:val="single" w:color="auto" w:sz="4" w:space="0"/>
              <w:right w:val="single" w:color="auto" w:sz="4" w:space="0"/>
            </w:tcBorders>
            <w:vAlign w:val="center"/>
          </w:tcPr>
          <w:p>
            <w:pPr>
              <w:widowControl/>
              <w:jc w:val="left"/>
              <w:rPr>
                <w:rFonts w:ascii="仿宋" w:hAnsi="仿宋" w:cs="宋体"/>
                <w:kern w:val="0"/>
              </w:rPr>
            </w:pPr>
            <w:r>
              <w:rPr>
                <w:rFonts w:hint="eastAsia" w:ascii="仿宋" w:hAnsi="仿宋" w:cs="宋体"/>
                <w:b/>
                <w:bCs/>
                <w:kern w:val="0"/>
              </w:rPr>
              <w:t>商务推广岗位群</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网络营销专员</w:t>
            </w:r>
          </w:p>
        </w:tc>
        <w:tc>
          <w:tcPr>
            <w:tcW w:w="47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left"/>
              <w:rPr>
                <w:rFonts w:ascii="仿宋" w:hAnsi="仿宋" w:cs="仿宋"/>
              </w:rPr>
            </w:pPr>
            <w:r>
              <w:rPr>
                <w:rFonts w:hint="eastAsia" w:ascii="仿宋" w:hAnsi="仿宋" w:cs="仿宋"/>
              </w:rPr>
              <w:t>（8）具备网络市场调研，对网络数据进行采集、筛选和编辑的能力，具备网络营销策划能力。</w:t>
            </w:r>
          </w:p>
          <w:p>
            <w:pPr>
              <w:autoSpaceDE w:val="0"/>
              <w:autoSpaceDN w:val="0"/>
              <w:adjustRightInd w:val="0"/>
              <w:snapToGrid w:val="0"/>
              <w:jc w:val="left"/>
              <w:rPr>
                <w:rFonts w:ascii="仿宋" w:hAnsi="仿宋" w:cs="仿宋"/>
                <w:lang w:val="zh-CN"/>
              </w:rPr>
            </w:pPr>
            <w:r>
              <w:rPr>
                <w:rFonts w:hint="eastAsia" w:ascii="仿宋" w:hAnsi="仿宋" w:cs="仿宋"/>
              </w:rPr>
              <w:t>（9）掌握主流网络推广工具，具备</w:t>
            </w:r>
            <w:r>
              <w:rPr>
                <w:rFonts w:hint="eastAsia" w:ascii="仿宋" w:hAnsi="仿宋" w:cs="仿宋"/>
                <w:lang w:val="zh-CN"/>
              </w:rPr>
              <w:t>网络</w:t>
            </w:r>
            <w:r>
              <w:rPr>
                <w:rFonts w:hint="eastAsia" w:ascii="仿宋" w:hAnsi="仿宋" w:cs="仿宋"/>
              </w:rPr>
              <w:t>品牌策划、网店</w:t>
            </w:r>
            <w:r>
              <w:rPr>
                <w:rFonts w:hint="eastAsia" w:ascii="仿宋" w:hAnsi="仿宋" w:cs="仿宋"/>
                <w:lang w:val="zh-CN"/>
              </w:rPr>
              <w:t>推广能力。</w:t>
            </w:r>
          </w:p>
          <w:p>
            <w:pPr>
              <w:autoSpaceDE w:val="0"/>
              <w:autoSpaceDN w:val="0"/>
              <w:adjustRightInd w:val="0"/>
              <w:snapToGrid w:val="0"/>
              <w:jc w:val="left"/>
              <w:rPr>
                <w:rFonts w:ascii="仿宋" w:hAnsi="仿宋" w:cs="仿宋"/>
                <w:kern w:val="0"/>
              </w:rPr>
            </w:pPr>
            <w:r>
              <w:rPr>
                <w:rFonts w:hint="eastAsia" w:ascii="仿宋" w:hAnsi="仿宋" w:cs="仿宋"/>
                <w:lang w:val="zh-CN"/>
              </w:rPr>
              <w:t>（</w:t>
            </w:r>
            <w:r>
              <w:rPr>
                <w:rFonts w:hint="eastAsia" w:ascii="仿宋" w:hAnsi="仿宋" w:cs="仿宋"/>
              </w:rPr>
              <w:t>10</w:t>
            </w:r>
            <w:r>
              <w:rPr>
                <w:rFonts w:hint="eastAsia" w:ascii="仿宋" w:hAnsi="仿宋" w:cs="仿宋"/>
                <w:lang w:val="zh-CN"/>
              </w:rPr>
              <w:t>）具备</w:t>
            </w:r>
            <w:r>
              <w:rPr>
                <w:rFonts w:hint="eastAsia" w:ascii="仿宋" w:hAnsi="仿宋" w:cs="仿宋"/>
              </w:rPr>
              <w:t>移动端营销推广能力，在PC端推广知识的基础上，进一步掌握移动互联网技术和移动商务运营管理等相关理论，形成移动站点的运营管理、营销策划、应用设计、商务设计开发应用能力。</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仿宋"/>
                <w:b/>
                <w:bCs/>
                <w:kern w:val="0"/>
              </w:rPr>
            </w:pPr>
            <w:r>
              <w:rPr>
                <w:rFonts w:hint="eastAsia" w:ascii="仿宋" w:hAnsi="仿宋" w:cs="仿宋"/>
                <w:kern w:val="0"/>
              </w:rPr>
              <w:t>《网络营销》</w:t>
            </w:r>
            <w:r>
              <w:rPr>
                <w:rFonts w:hint="eastAsia" w:ascii="仿宋" w:hAnsi="仿宋" w:cs="仿宋"/>
                <w:b/>
                <w:bCs/>
                <w:kern w:val="0"/>
              </w:rPr>
              <w:t>（“互联网营销师”职业标准；1</w:t>
            </w:r>
            <w:r>
              <w:rPr>
                <w:rFonts w:hint="eastAsia" w:ascii="仿宋" w:hAnsi="仿宋" w:cs="宋体"/>
                <w:b/>
                <w:bCs/>
                <w:kern w:val="0"/>
              </w:rPr>
              <w:t xml:space="preserve">+X课证融通 </w:t>
            </w:r>
            <w:r>
              <w:rPr>
                <w:rFonts w:hint="eastAsia" w:ascii="仿宋" w:hAnsi="仿宋" w:cs="仿宋"/>
                <w:b/>
                <w:bCs/>
                <w:kern w:val="0"/>
              </w:rPr>
              <w:t>）</w:t>
            </w:r>
          </w:p>
          <w:p>
            <w:pPr>
              <w:widowControl/>
              <w:outlineLvl w:val="4"/>
              <w:rPr>
                <w:rFonts w:ascii="仿宋" w:hAnsi="仿宋" w:cs="仿宋"/>
                <w:kern w:val="0"/>
              </w:rPr>
            </w:pPr>
            <w:r>
              <w:rPr>
                <w:rFonts w:hint="eastAsia" w:ascii="仿宋" w:hAnsi="仿宋" w:cs="宋体"/>
                <w:kern w:val="0"/>
              </w:rPr>
              <w:t>《移动商务推广》</w:t>
            </w: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1" w:type="dxa"/>
            <w:vMerge w:val="continue"/>
            <w:tcBorders>
              <w:left w:val="single" w:color="auto" w:sz="4" w:space="0"/>
              <w:right w:val="single" w:color="auto" w:sz="4" w:space="0"/>
            </w:tcBorders>
            <w:vAlign w:val="center"/>
          </w:tcPr>
          <w:p>
            <w:pPr>
              <w:widowControl/>
              <w:jc w:val="left"/>
              <w:rPr>
                <w:rFonts w:ascii="仿宋" w:hAnsi="仿宋" w:cs="宋体"/>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商务数据分析专员</w:t>
            </w:r>
          </w:p>
        </w:tc>
        <w:tc>
          <w:tcPr>
            <w:tcW w:w="47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left"/>
              <w:rPr>
                <w:rFonts w:ascii="仿宋" w:hAnsi="仿宋" w:cs="仿宋"/>
                <w:kern w:val="0"/>
              </w:rPr>
            </w:pPr>
            <w:r>
              <w:rPr>
                <w:rFonts w:hint="eastAsia" w:ascii="仿宋" w:hAnsi="仿宋" w:cs="仿宋"/>
              </w:rPr>
              <w:t>（11）掌握客户和交易数据分析、商品数据分析，熟悉常用分析工具和方法，得出分析结论和报告，为运营策略制定提供支撑。</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spacing w:line="240" w:lineRule="auto"/>
              <w:outlineLvl w:val="4"/>
              <w:rPr>
                <w:rFonts w:ascii="宋体" w:hAnsi="宋体" w:eastAsia="宋体" w:cs="宋体"/>
                <w:color w:val="000000"/>
                <w:kern w:val="0"/>
                <w:sz w:val="22"/>
                <w:szCs w:val="22"/>
                <w:lang w:bidi="ar"/>
              </w:rPr>
            </w:pPr>
            <w:r>
              <w:rPr>
                <w:rFonts w:hint="eastAsia" w:ascii="仿宋" w:hAnsi="仿宋" w:cs="宋体"/>
                <w:kern w:val="0"/>
              </w:rPr>
              <w:t>《电子商务数据分析》</w:t>
            </w:r>
            <w:r>
              <w:rPr>
                <w:rFonts w:hint="eastAsia" w:ascii="仿宋" w:hAnsi="仿宋" w:cs="宋体"/>
                <w:b/>
                <w:bCs/>
                <w:kern w:val="0"/>
              </w:rPr>
              <w:t>（1+X课证融通）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Merge w:val="continue"/>
            <w:tcBorders>
              <w:left w:val="single" w:color="auto" w:sz="4" w:space="0"/>
              <w:right w:val="single" w:color="auto" w:sz="4" w:space="0"/>
            </w:tcBorders>
            <w:vAlign w:val="center"/>
          </w:tcPr>
          <w:p>
            <w:pPr>
              <w:widowControl/>
              <w:jc w:val="left"/>
              <w:rPr>
                <w:rFonts w:ascii="仿宋" w:hAnsi="仿宋" w:cs="宋体"/>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直播营销专员</w:t>
            </w:r>
          </w:p>
        </w:tc>
        <w:tc>
          <w:tcPr>
            <w:tcW w:w="4795"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r>
              <w:rPr>
                <w:rFonts w:hint="eastAsia" w:ascii="仿宋" w:hAnsi="仿宋" w:cs="仿宋"/>
                <w:kern w:val="0"/>
              </w:rPr>
              <w:t>（</w:t>
            </w:r>
            <w:r>
              <w:rPr>
                <w:rFonts w:hint="eastAsia" w:ascii="仿宋" w:hAnsi="仿宋" w:cs="仿宋"/>
              </w:rPr>
              <w:t>12）掌握新媒体运营的基本思路与流程，能够利用新兴媒体平台工具进行</w:t>
            </w:r>
            <w:r>
              <w:rPr>
                <w:rFonts w:ascii="仿宋" w:hAnsi="仿宋" w:cs="仿宋"/>
              </w:rPr>
              <w:t>产品宣传、推广</w:t>
            </w:r>
            <w:r>
              <w:rPr>
                <w:rFonts w:hint="eastAsia" w:ascii="仿宋" w:hAnsi="仿宋" w:cs="仿宋"/>
              </w:rPr>
              <w:t>与营销</w:t>
            </w:r>
            <w:r>
              <w:rPr>
                <w:rFonts w:ascii="仿宋" w:hAnsi="仿宋" w:cs="仿宋"/>
              </w:rPr>
              <w:t>。</w:t>
            </w:r>
            <w:r>
              <w:rPr>
                <w:rFonts w:hint="eastAsia" w:ascii="仿宋" w:hAnsi="仿宋" w:cs="仿宋"/>
              </w:rPr>
              <w:t>重点掌握直播营销活动技能，进行人货场要素设计，直播方案策划与脚本编写，开展直播创意展示与促销互动、客户服务、直播复盘等，实现吸引关注与停留、提高转化的目标。</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仿宋"/>
                <w:kern w:val="0"/>
              </w:rPr>
            </w:pPr>
            <w:r>
              <w:rPr>
                <w:rFonts w:hint="eastAsia" w:ascii="仿宋" w:hAnsi="仿宋" w:cs="仿宋"/>
                <w:kern w:val="0"/>
              </w:rPr>
              <w:t>《新媒体运营》</w:t>
            </w:r>
          </w:p>
          <w:p>
            <w:pPr>
              <w:widowControl/>
              <w:outlineLvl w:val="4"/>
              <w:rPr>
                <w:rFonts w:ascii="仿宋" w:hAnsi="仿宋" w:cs="仿宋"/>
                <w:kern w:val="0"/>
              </w:rPr>
            </w:pPr>
            <w:r>
              <w:rPr>
                <w:rFonts w:hint="eastAsia" w:ascii="仿宋" w:hAnsi="仿宋" w:cs="宋体"/>
                <w:b/>
                <w:bCs/>
                <w:kern w:val="0"/>
              </w:rPr>
              <w:t>（1+X课证融通）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Merge w:val="continue"/>
            <w:tcBorders>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仿宋"/>
                <w:bCs/>
                <w:kern w:val="0"/>
              </w:rPr>
            </w:pPr>
            <w:r>
              <w:rPr>
                <w:rFonts w:hint="eastAsia" w:ascii="仿宋" w:hAnsi="仿宋" w:cs="仿宋"/>
                <w:bCs/>
                <w:kern w:val="0"/>
              </w:rPr>
              <w:t>跨境电商专员</w:t>
            </w:r>
          </w:p>
        </w:tc>
        <w:tc>
          <w:tcPr>
            <w:tcW w:w="47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left"/>
              <w:rPr>
                <w:rFonts w:ascii="仿宋" w:hAnsi="仿宋" w:cs="仿宋"/>
                <w:kern w:val="0"/>
              </w:rPr>
            </w:pPr>
            <w:r>
              <w:rPr>
                <w:rFonts w:hint="eastAsia" w:ascii="仿宋" w:hAnsi="仿宋" w:cs="仿宋"/>
              </w:rPr>
              <w:t>（13）熟悉跨境电商业务操作基本流程，具有跨境B2B业务谈判、磋商、达成交易的能力，具有跨境电商业务处理、客服服务等能力。</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《跨境电子商务操作实务》</w:t>
            </w: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011" w:type="dxa"/>
            <w:vMerge w:val="restart"/>
            <w:tcBorders>
              <w:top w:val="single" w:color="auto" w:sz="4" w:space="0"/>
              <w:left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宋体"/>
                <w:kern w:val="0"/>
              </w:rPr>
            </w:pPr>
            <w:r>
              <w:rPr>
                <w:rFonts w:hint="eastAsia" w:ascii="仿宋" w:hAnsi="仿宋" w:cs="宋体"/>
                <w:b/>
                <w:kern w:val="0"/>
              </w:rPr>
              <w:t>运营管理岗位群</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宋体"/>
                <w:bCs/>
                <w:kern w:val="0"/>
              </w:rPr>
            </w:pPr>
            <w:r>
              <w:rPr>
                <w:rFonts w:hint="eastAsia" w:ascii="仿宋" w:hAnsi="仿宋" w:cs="宋体"/>
                <w:bCs/>
                <w:kern w:val="0"/>
              </w:rPr>
              <w:t>网店运营经理</w:t>
            </w:r>
          </w:p>
        </w:tc>
        <w:tc>
          <w:tcPr>
            <w:tcW w:w="47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cs="仿宋"/>
                <w:kern w:val="0"/>
              </w:rPr>
            </w:pPr>
            <w:r>
              <w:rPr>
                <w:rFonts w:hint="eastAsia" w:ascii="仿宋" w:hAnsi="仿宋" w:cs="仿宋"/>
              </w:rPr>
              <w:t>（14）</w:t>
            </w:r>
            <w:r>
              <w:rPr>
                <w:rFonts w:hint="eastAsia" w:ascii="仿宋" w:hAnsi="仿宋" w:cs="宋体"/>
                <w:kern w:val="0"/>
              </w:rPr>
              <w:t>能够进行网店（包含跨境店铺）开设与定位、网店商品信息维护、订单管理与物流渠道的建立。</w:t>
            </w:r>
            <w:r>
              <w:rPr>
                <w:rFonts w:hint="eastAsia" w:ascii="仿宋" w:hAnsi="仿宋" w:cs="仿宋"/>
              </w:rPr>
              <w:t>面向搜索引擎推广、信息流推广等岗位（群），完成关键词挖掘与分析、商品标题制作、详情页优化、搜索推广策略制定、搜索推广账户搭建与优化、信息流推广等工作任务，具备网店推广能力。</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《网店运营推广》</w:t>
            </w:r>
            <w:r>
              <w:rPr>
                <w:rFonts w:hint="eastAsia" w:ascii="仿宋" w:hAnsi="仿宋" w:cs="宋体"/>
                <w:b/>
                <w:bCs/>
                <w:kern w:val="0"/>
              </w:rPr>
              <w:t>（1+X课证融通）</w:t>
            </w:r>
          </w:p>
          <w:p>
            <w:pPr>
              <w:widowControl/>
              <w:outlineLvl w:val="4"/>
              <w:rPr>
                <w:rFonts w:ascii="仿宋" w:hAnsi="仿宋" w:cs="宋体"/>
                <w:kern w:val="0"/>
              </w:rPr>
            </w:pPr>
          </w:p>
          <w:p>
            <w:pPr>
              <w:widowControl/>
              <w:outlineLvl w:val="4"/>
              <w:rPr>
                <w:rFonts w:ascii="仿宋" w:hAnsi="仿宋" w:cs="宋体"/>
                <w:kern w:val="0"/>
              </w:rPr>
            </w:pP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Merge w:val="continue"/>
            <w:tcBorders>
              <w:left w:val="single" w:color="auto" w:sz="4" w:space="0"/>
              <w:right w:val="single" w:color="auto" w:sz="4" w:space="0"/>
            </w:tcBorders>
            <w:vAlign w:val="center"/>
          </w:tcPr>
          <w:p>
            <w:pPr>
              <w:widowControl/>
              <w:jc w:val="left"/>
              <w:rPr>
                <w:rFonts w:ascii="仿宋" w:hAnsi="仿宋" w:cs="宋体"/>
                <w:bCs/>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宋体"/>
                <w:bCs/>
                <w:kern w:val="0"/>
              </w:rPr>
            </w:pPr>
            <w:r>
              <w:rPr>
                <w:rFonts w:hint="eastAsia" w:ascii="仿宋" w:hAnsi="仿宋" w:cs="宋体"/>
                <w:bCs/>
                <w:kern w:val="0"/>
              </w:rPr>
              <w:t>直播运营经理</w:t>
            </w:r>
          </w:p>
        </w:tc>
        <w:tc>
          <w:tcPr>
            <w:tcW w:w="47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cs="仿宋"/>
              </w:rPr>
            </w:pPr>
            <w:r>
              <w:rPr>
                <w:rFonts w:hint="eastAsia" w:ascii="仿宋" w:hAnsi="仿宋" w:cs="仿宋"/>
              </w:rPr>
              <w:t>（15）搭建和运营以直播为主的电商内容板块，进行直播引流和渠道推广、直播运营方案策划、直播现场进度管理、直播数据分析等；</w:t>
            </w:r>
          </w:p>
          <w:p>
            <w:pPr>
              <w:adjustRightInd w:val="0"/>
              <w:snapToGrid w:val="0"/>
              <w:rPr>
                <w:rFonts w:ascii="仿宋" w:hAnsi="仿宋" w:cs="仿宋"/>
                <w:kern w:val="0"/>
              </w:rPr>
            </w:pPr>
            <w:r>
              <w:rPr>
                <w:rFonts w:hint="eastAsia" w:ascii="仿宋" w:hAnsi="仿宋" w:cs="仿宋"/>
              </w:rPr>
              <w:t>（16）管理主播团队，人员结构规划， 主播培养、专业化能力培训、绩效考核等，带领团队完成销售指标。</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《新媒体运营》</w:t>
            </w:r>
          </w:p>
          <w:p>
            <w:pPr>
              <w:widowControl/>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Merge w:val="continue"/>
            <w:tcBorders>
              <w:left w:val="single" w:color="auto" w:sz="4" w:space="0"/>
              <w:bottom w:val="single" w:color="auto" w:sz="4" w:space="0"/>
              <w:right w:val="single" w:color="auto" w:sz="4" w:space="0"/>
            </w:tcBorders>
            <w:vAlign w:val="center"/>
          </w:tcPr>
          <w:p>
            <w:pPr>
              <w:widowControl/>
              <w:jc w:val="left"/>
              <w:rPr>
                <w:rFonts w:ascii="仿宋" w:hAnsi="仿宋" w:cs="宋体"/>
                <w:bCs/>
                <w:kern w:val="0"/>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cs="宋体"/>
                <w:bCs/>
                <w:kern w:val="0"/>
              </w:rPr>
            </w:pPr>
            <w:r>
              <w:rPr>
                <w:rFonts w:hint="eastAsia" w:ascii="仿宋" w:hAnsi="仿宋" w:cs="宋体"/>
                <w:bCs/>
                <w:kern w:val="0"/>
              </w:rPr>
              <w:t>“互联网+”创业经理</w:t>
            </w:r>
          </w:p>
        </w:tc>
        <w:tc>
          <w:tcPr>
            <w:tcW w:w="47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cs="仿宋"/>
                <w:kern w:val="0"/>
              </w:rPr>
            </w:pPr>
            <w:r>
              <w:rPr>
                <w:rFonts w:hint="eastAsia" w:ascii="仿宋" w:hAnsi="仿宋" w:cs="仿宋"/>
                <w:kern w:val="0"/>
              </w:rPr>
              <w:t>（16）创新创业项目策划与实施，团队组建与管理、项目实施</w:t>
            </w:r>
          </w:p>
        </w:tc>
        <w:tc>
          <w:tcPr>
            <w:tcW w:w="2173" w:type="dxa"/>
            <w:tcBorders>
              <w:top w:val="single" w:color="auto" w:sz="4" w:space="0"/>
              <w:left w:val="single" w:color="auto" w:sz="4" w:space="0"/>
              <w:bottom w:val="single" w:color="auto" w:sz="4" w:space="0"/>
              <w:right w:val="single" w:color="auto" w:sz="4" w:space="0"/>
            </w:tcBorders>
            <w:vAlign w:val="center"/>
          </w:tcPr>
          <w:p>
            <w:pPr>
              <w:widowControl/>
              <w:outlineLvl w:val="4"/>
              <w:rPr>
                <w:rFonts w:ascii="仿宋" w:hAnsi="仿宋" w:cs="宋体"/>
                <w:kern w:val="0"/>
              </w:rPr>
            </w:pPr>
            <w:r>
              <w:rPr>
                <w:rFonts w:hint="eastAsia" w:ascii="仿宋" w:hAnsi="仿宋" w:cs="宋体"/>
                <w:kern w:val="0"/>
              </w:rPr>
              <w:t>《电子商务创新创业孵化》</w:t>
            </w:r>
          </w:p>
        </w:tc>
      </w:tr>
    </w:tbl>
    <w:p>
      <w:pPr>
        <w:jc w:val="center"/>
        <w:rPr>
          <w:rFonts w:ascii="仿宋" w:hAnsi="仿宋" w:cs="仿宋"/>
          <w:sz w:val="21"/>
          <w:szCs w:val="21"/>
        </w:rPr>
      </w:pPr>
      <w:r>
        <w:rPr>
          <w:rFonts w:hint="eastAsia" w:ascii="仿宋" w:hAnsi="仿宋" w:cs="仿宋"/>
          <w:sz w:val="21"/>
          <w:szCs w:val="21"/>
        </w:rPr>
        <w:t>表3 专业能力与相应课程</w:t>
      </w:r>
    </w:p>
    <w:p>
      <w:pPr>
        <w:pStyle w:val="2"/>
        <w:numPr>
          <w:ilvl w:val="0"/>
          <w:numId w:val="2"/>
        </w:numPr>
      </w:pPr>
      <w:r>
        <w:rPr>
          <w:rFonts w:hint="eastAsia"/>
        </w:rPr>
        <w:t>课程设置及学时安排</w:t>
      </w:r>
    </w:p>
    <w:p>
      <w:pPr>
        <w:pStyle w:val="3"/>
      </w:pPr>
      <w:r>
        <w:rPr>
          <w:rFonts w:hint="eastAsia"/>
        </w:rPr>
        <w:t>（一）课程设置</w:t>
      </w:r>
    </w:p>
    <w:p>
      <w:pPr>
        <w:ind w:firstLine="480" w:firstLineChars="200"/>
      </w:pPr>
      <w:r>
        <w:rPr>
          <w:rFonts w:hint="eastAsia"/>
        </w:rPr>
        <w:t>本专业课程主要包括公共基础课程（综合素质）和专业课程。</w:t>
      </w:r>
    </w:p>
    <w:p>
      <w:pPr>
        <w:ind w:firstLine="480" w:firstLineChars="200"/>
        <w:rPr>
          <w:rFonts w:ascii="楷体" w:hAnsi="楷体" w:eastAsia="楷体" w:cs="楷体"/>
        </w:rPr>
      </w:pPr>
      <w:r>
        <w:rPr>
          <w:rFonts w:hint="eastAsia" w:ascii="楷体" w:hAnsi="楷体" w:eastAsia="楷体" w:cs="楷体"/>
        </w:rPr>
        <w:t>1.公共基础课程（综合素质）</w:t>
      </w:r>
    </w:p>
    <w:p>
      <w:pPr>
        <w:ind w:firstLine="480" w:firstLineChars="200"/>
      </w:pPr>
      <w:r>
        <w:rPr>
          <w:rFonts w:hint="eastAsia"/>
        </w:rPr>
        <w:t>根据党和国家有关文件规定，本专业公共基础（综合素质）必修课为：思想政治理论课、形势与政策、劳动教育、中华优秀传统文化、体育、军事理论与军训、职业发展与就业指导、大学生心理健康教育、应用文写作、实用英语、计算机应用基础；公共基础（综合素质）选修课为：大学生职业生涯规划、创新创业教育、应用数学、普通话口语表达和网络通识类课程。</w:t>
      </w:r>
    </w:p>
    <w:p>
      <w:pPr>
        <w:ind w:firstLine="480" w:firstLineChars="200"/>
        <w:rPr>
          <w:rFonts w:ascii="楷体" w:hAnsi="楷体" w:eastAsia="楷体" w:cs="楷体"/>
        </w:rPr>
      </w:pPr>
      <w:r>
        <w:rPr>
          <w:rFonts w:hint="eastAsia" w:ascii="楷体" w:hAnsi="楷体" w:eastAsia="楷体" w:cs="楷体"/>
        </w:rPr>
        <w:t>2.专业课程</w:t>
      </w:r>
    </w:p>
    <w:p>
      <w:pPr>
        <w:ind w:firstLine="480" w:firstLineChars="200"/>
      </w:pPr>
      <w:r>
        <w:rPr>
          <w:rFonts w:hint="eastAsia"/>
        </w:rPr>
        <w:t>专业课程包括专业基础课程、专业核心课程和专业拓展课程，并涵盖有关实践性教学环节。</w:t>
      </w:r>
    </w:p>
    <w:p>
      <w:pPr>
        <w:ind w:firstLine="480" w:firstLineChars="200"/>
      </w:pPr>
      <w:r>
        <w:rPr>
          <w:rFonts w:hint="eastAsia"/>
        </w:rPr>
        <w:t>专业课程体系整体设计如下图：</w:t>
      </w:r>
    </w:p>
    <w:p>
      <w:pPr>
        <w:ind w:firstLine="480" w:firstLineChars="200"/>
      </w:pPr>
    </w:p>
    <w:p>
      <w:r>
        <w:drawing>
          <wp:inline distT="0" distB="0" distL="0" distR="0">
            <wp:extent cx="5759450" cy="45713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759450" cy="4571365"/>
                    </a:xfrm>
                    <a:prstGeom prst="rect">
                      <a:avLst/>
                    </a:prstGeom>
                  </pic:spPr>
                </pic:pic>
              </a:graphicData>
            </a:graphic>
          </wp:inline>
        </w:drawing>
      </w:r>
    </w:p>
    <w:p>
      <w:pPr>
        <w:ind w:firstLine="420" w:firstLineChars="200"/>
        <w:jc w:val="center"/>
      </w:pPr>
      <w:r>
        <w:rPr>
          <w:rFonts w:hint="eastAsia"/>
          <w:sz w:val="21"/>
          <w:szCs w:val="21"/>
        </w:rPr>
        <w:t>图1 专业课程体系建设设计图</w:t>
      </w:r>
    </w:p>
    <w:p>
      <w:pPr>
        <w:numPr>
          <w:ilvl w:val="0"/>
          <w:numId w:val="5"/>
        </w:numPr>
        <w:ind w:firstLine="480" w:firstLineChars="200"/>
      </w:pPr>
      <w:r>
        <w:rPr>
          <w:rFonts w:hint="eastAsia"/>
        </w:rPr>
        <w:t>专业基础课程。</w:t>
      </w:r>
    </w:p>
    <w:p>
      <w:pPr>
        <w:ind w:firstLine="480" w:firstLineChars="200"/>
      </w:pPr>
      <w:r>
        <w:rPr>
          <w:rFonts w:hint="eastAsia"/>
        </w:rPr>
        <w:t>参照教育部职成司发布的本专业的“电子商务高等职业学校专业教学标准”，结合系部实际，本专业的专业基础课程为8门，包括：现代企业管理、电子商务概论、图形图像处理、电子商务网页设计与制作、网络信息编辑、移动商务推广、客户关系管理等。</w:t>
      </w:r>
    </w:p>
    <w:p>
      <w:pPr>
        <w:numPr>
          <w:ilvl w:val="0"/>
          <w:numId w:val="5"/>
        </w:numPr>
        <w:ind w:firstLine="480" w:firstLineChars="200"/>
      </w:pPr>
      <w:r>
        <w:rPr>
          <w:rFonts w:hint="eastAsia"/>
        </w:rPr>
        <w:t>专业核心课程。</w:t>
      </w:r>
    </w:p>
    <w:p>
      <w:pPr>
        <w:ind w:firstLine="480" w:firstLineChars="200"/>
      </w:pPr>
      <w:r>
        <w:rPr>
          <w:rFonts w:hint="eastAsia"/>
        </w:rPr>
        <w:t>参照教育部职成司发布的“电子商务高等职业学校专业教学标准”，结合系部教学实际开设的专业核心课程为6门，包括：网络营销、网店美工、电子商务数据分析、新媒体运营、网店运营推广、网络客户服务实务。</w:t>
      </w:r>
    </w:p>
    <w:p>
      <w:pPr>
        <w:numPr>
          <w:ilvl w:val="0"/>
          <w:numId w:val="5"/>
        </w:numPr>
        <w:ind w:firstLine="480" w:firstLineChars="200"/>
      </w:pPr>
      <w:r>
        <w:rPr>
          <w:rFonts w:hint="eastAsia"/>
        </w:rPr>
        <w:t>专业拓展课程。</w:t>
      </w:r>
    </w:p>
    <w:p>
      <w:pPr>
        <w:ind w:firstLine="480" w:firstLineChars="200"/>
      </w:pPr>
      <w:r>
        <w:rPr>
          <w:rFonts w:hint="eastAsia"/>
        </w:rPr>
        <w:t>参照教育部职成司发布的“电子商务高等职业学校专业教学标准”，结合系部教学实际开设专业拓展</w:t>
      </w:r>
      <w:r>
        <w:rPr>
          <w:rFonts w:hint="eastAsia"/>
          <w:lang w:val="en-US" w:eastAsia="zh-CN"/>
        </w:rPr>
        <w:t>选修</w:t>
      </w:r>
      <w:r>
        <w:rPr>
          <w:rFonts w:hint="eastAsia"/>
        </w:rPr>
        <w:t>课程为7门，包括：电子商务物流实务、选品与采购、跨境电子商务操作实务、电子商务与国际贸易、电子商务法律法规、电子商务创新创业孵化、电子商务安全技术。</w:t>
      </w:r>
    </w:p>
    <w:p>
      <w:pPr>
        <w:ind w:firstLine="480" w:firstLineChars="200"/>
      </w:pPr>
      <w:r>
        <w:rPr>
          <w:rFonts w:hint="eastAsia"/>
        </w:rPr>
        <w:t>课程分布情况如下：</w:t>
      </w:r>
    </w:p>
    <w:tbl>
      <w:tblPr>
        <w:tblStyle w:val="8"/>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1"/>
        <w:gridCol w:w="1944"/>
        <w:gridCol w:w="1808"/>
        <w:gridCol w:w="20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学期</w:t>
            </w:r>
          </w:p>
        </w:tc>
        <w:tc>
          <w:tcPr>
            <w:tcW w:w="1944"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公共基础课程</w:t>
            </w:r>
          </w:p>
        </w:tc>
        <w:tc>
          <w:tcPr>
            <w:tcW w:w="1808"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专业基础课</w:t>
            </w:r>
          </w:p>
        </w:tc>
        <w:tc>
          <w:tcPr>
            <w:tcW w:w="20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专业核心课</w:t>
            </w:r>
          </w:p>
        </w:tc>
        <w:tc>
          <w:tcPr>
            <w:tcW w:w="2126"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专业拓展课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exac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第六学期</w:t>
            </w:r>
          </w:p>
        </w:tc>
        <w:tc>
          <w:tcPr>
            <w:tcW w:w="7879" w:type="dxa"/>
            <w:gridSpan w:val="4"/>
            <w:vAlign w:val="center"/>
          </w:tcPr>
          <w:p>
            <w:pPr>
              <w:widowControl/>
              <w:shd w:val="clear" w:color="auto" w:fill="FFFFFF"/>
              <w:spacing w:line="480" w:lineRule="exact"/>
              <w:ind w:left="-106" w:leftChars="-44" w:firstLine="480" w:firstLineChars="200"/>
              <w:jc w:val="center"/>
              <w:rPr>
                <w:rFonts w:cs="宋体" w:asciiTheme="minorEastAsia" w:hAnsiTheme="minorEastAsia"/>
                <w:kern w:val="0"/>
                <w:szCs w:val="21"/>
              </w:rPr>
            </w:pPr>
            <w:r>
              <w:rPr>
                <w:rFonts w:hint="eastAsia" w:cs="宋体" w:asciiTheme="minorEastAsia" w:hAnsiTheme="minorEastAsia"/>
                <w:kern w:val="0"/>
                <w:szCs w:val="21"/>
              </w:rPr>
              <w:t>毕业设计、顶岗实习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0" w:hRule="exac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第五学期</w:t>
            </w:r>
          </w:p>
        </w:tc>
        <w:tc>
          <w:tcPr>
            <w:tcW w:w="1944"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职业发展与就业指导</w:t>
            </w:r>
          </w:p>
          <w:p>
            <w:pPr>
              <w:widowControl/>
              <w:shd w:val="clear" w:color="auto" w:fill="FFFFFF"/>
              <w:spacing w:line="240" w:lineRule="auto"/>
              <w:jc w:val="center"/>
              <w:rPr>
                <w:rFonts w:ascii="仿宋" w:hAnsi="仿宋" w:cs="仿宋"/>
                <w:kern w:val="0"/>
                <w:sz w:val="21"/>
                <w:szCs w:val="21"/>
              </w:rPr>
            </w:pPr>
          </w:p>
        </w:tc>
        <w:tc>
          <w:tcPr>
            <w:tcW w:w="1808" w:type="dxa"/>
            <w:vAlign w:val="center"/>
          </w:tcPr>
          <w:p>
            <w:pPr>
              <w:widowControl/>
              <w:jc w:val="center"/>
              <w:textAlignment w:val="center"/>
              <w:rPr>
                <w:rFonts w:ascii="宋体" w:hAnsi="宋体" w:eastAsia="宋体" w:cs="宋体"/>
                <w:color w:val="000000"/>
                <w:sz w:val="16"/>
                <w:szCs w:val="16"/>
              </w:rPr>
            </w:pPr>
          </w:p>
        </w:tc>
        <w:tc>
          <w:tcPr>
            <w:tcW w:w="2001" w:type="dxa"/>
            <w:vAlign w:val="center"/>
          </w:tcPr>
          <w:p>
            <w:pPr>
              <w:widowControl/>
              <w:shd w:val="clear" w:color="auto" w:fill="FFFFFF"/>
              <w:spacing w:line="480" w:lineRule="exact"/>
              <w:jc w:val="center"/>
              <w:rPr>
                <w:rFonts w:cs="宋体" w:asciiTheme="minorEastAsia" w:hAnsiTheme="minorEastAsia"/>
                <w:kern w:val="0"/>
                <w:szCs w:val="21"/>
              </w:rPr>
            </w:pPr>
          </w:p>
        </w:tc>
        <w:tc>
          <w:tcPr>
            <w:tcW w:w="2126"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选品与采购</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跨境电子商务操作实务</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电子商务创新创业孵化</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电子商务安全技术</w:t>
            </w:r>
          </w:p>
          <w:p>
            <w:pPr>
              <w:widowControl/>
              <w:shd w:val="clear" w:color="auto" w:fill="FFFFFF"/>
              <w:spacing w:line="240" w:lineRule="auto"/>
              <w:jc w:val="center"/>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exac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第四学期</w:t>
            </w:r>
          </w:p>
        </w:tc>
        <w:tc>
          <w:tcPr>
            <w:tcW w:w="1944" w:type="dxa"/>
            <w:vAlign w:val="center"/>
          </w:tcPr>
          <w:p>
            <w:pPr>
              <w:widowControl/>
              <w:shd w:val="clear" w:color="auto" w:fill="FFFFFF"/>
              <w:spacing w:line="240" w:lineRule="auto"/>
              <w:ind w:firstLine="420" w:firstLineChars="200"/>
              <w:rPr>
                <w:rFonts w:ascii="仿宋" w:hAnsi="仿宋" w:cs="仿宋"/>
                <w:kern w:val="0"/>
                <w:sz w:val="21"/>
                <w:szCs w:val="21"/>
              </w:rPr>
            </w:pPr>
          </w:p>
        </w:tc>
        <w:tc>
          <w:tcPr>
            <w:tcW w:w="1808"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网络信息编辑</w:t>
            </w:r>
          </w:p>
          <w:p>
            <w:pPr>
              <w:widowControl/>
              <w:shd w:val="clear" w:color="auto" w:fill="FFFFFF"/>
              <w:spacing w:line="240" w:lineRule="auto"/>
              <w:jc w:val="center"/>
              <w:rPr>
                <w:rFonts w:ascii="仿宋" w:hAnsi="仿宋" w:cs="仿宋"/>
                <w:kern w:val="0"/>
                <w:sz w:val="21"/>
                <w:szCs w:val="21"/>
              </w:rPr>
            </w:pPr>
          </w:p>
        </w:tc>
        <w:tc>
          <w:tcPr>
            <w:tcW w:w="2001" w:type="dxa"/>
            <w:vAlign w:val="center"/>
          </w:tcPr>
          <w:p>
            <w:pPr>
              <w:widowControl/>
              <w:shd w:val="clear" w:color="auto" w:fill="FFFFFF"/>
              <w:spacing w:line="240" w:lineRule="auto"/>
              <w:jc w:val="center"/>
              <w:rPr>
                <w:rFonts w:ascii="仿宋" w:hAnsi="仿宋" w:cs="仿宋"/>
                <w:kern w:val="0"/>
                <w:sz w:val="21"/>
                <w:szCs w:val="21"/>
              </w:rPr>
            </w:pPr>
            <w:r>
              <w:rPr>
                <w:rFonts w:hint="eastAsia" w:ascii="宋体" w:hAnsi="宋体"/>
                <w:sz w:val="21"/>
                <w:szCs w:val="21"/>
                <w:lang w:val="zh-CN"/>
              </w:rPr>
              <w:t>★</w:t>
            </w:r>
            <w:r>
              <w:rPr>
                <w:rFonts w:hint="eastAsia" w:ascii="仿宋" w:hAnsi="仿宋" w:cs="仿宋"/>
                <w:kern w:val="0"/>
                <w:sz w:val="21"/>
                <w:szCs w:val="21"/>
              </w:rPr>
              <w:t>电子商务数据分析</w:t>
            </w:r>
          </w:p>
          <w:p>
            <w:pPr>
              <w:widowControl/>
              <w:shd w:val="clear" w:color="auto" w:fill="FFFFFF"/>
              <w:spacing w:line="240" w:lineRule="auto"/>
              <w:jc w:val="center"/>
              <w:rPr>
                <w:rFonts w:ascii="仿宋" w:hAnsi="仿宋" w:cs="仿宋"/>
                <w:kern w:val="0"/>
                <w:sz w:val="21"/>
                <w:szCs w:val="21"/>
              </w:rPr>
            </w:pPr>
            <w:r>
              <w:rPr>
                <w:rFonts w:hint="eastAsia" w:ascii="宋体" w:hAnsi="宋体"/>
                <w:sz w:val="21"/>
                <w:szCs w:val="21"/>
                <w:lang w:val="zh-CN"/>
              </w:rPr>
              <w:t>★</w:t>
            </w:r>
            <w:r>
              <w:rPr>
                <w:rFonts w:hint="eastAsia" w:ascii="仿宋" w:hAnsi="仿宋" w:cs="仿宋"/>
                <w:kern w:val="0"/>
                <w:sz w:val="21"/>
                <w:szCs w:val="21"/>
              </w:rPr>
              <w:t>新媒体运营</w:t>
            </w:r>
          </w:p>
          <w:p>
            <w:pPr>
              <w:widowControl/>
              <w:shd w:val="clear" w:color="auto" w:fill="FFFFFF"/>
              <w:spacing w:line="240" w:lineRule="auto"/>
              <w:jc w:val="center"/>
              <w:rPr>
                <w:rFonts w:cs="宋体" w:asciiTheme="minorEastAsia" w:hAnsiTheme="minorEastAsia"/>
                <w:kern w:val="0"/>
                <w:szCs w:val="21"/>
              </w:rPr>
            </w:pPr>
            <w:r>
              <w:rPr>
                <w:rFonts w:hint="eastAsia" w:ascii="宋体" w:hAnsi="宋体"/>
                <w:sz w:val="21"/>
                <w:szCs w:val="21"/>
                <w:lang w:val="zh-CN"/>
              </w:rPr>
              <w:t>★</w:t>
            </w:r>
            <w:r>
              <w:rPr>
                <w:rFonts w:hint="eastAsia" w:ascii="仿宋" w:hAnsi="仿宋" w:cs="仿宋"/>
                <w:kern w:val="0"/>
                <w:sz w:val="21"/>
                <w:szCs w:val="21"/>
              </w:rPr>
              <w:t>网店运营推广</w:t>
            </w:r>
          </w:p>
        </w:tc>
        <w:tc>
          <w:tcPr>
            <w:tcW w:w="2126"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电子商务物流实务</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电子商务与国际贸易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exac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第三学期</w:t>
            </w:r>
          </w:p>
        </w:tc>
        <w:tc>
          <w:tcPr>
            <w:tcW w:w="1944"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应用文写作</w:t>
            </w:r>
          </w:p>
        </w:tc>
        <w:tc>
          <w:tcPr>
            <w:tcW w:w="1808"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电子商务网页设计与制作</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移动商务推广</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商务礼仪与沟通</w:t>
            </w:r>
          </w:p>
        </w:tc>
        <w:tc>
          <w:tcPr>
            <w:tcW w:w="2001" w:type="dxa"/>
            <w:vAlign w:val="center"/>
          </w:tcPr>
          <w:p>
            <w:pPr>
              <w:widowControl/>
              <w:shd w:val="clear" w:color="auto" w:fill="FFFFFF"/>
              <w:spacing w:line="240" w:lineRule="auto"/>
              <w:jc w:val="center"/>
              <w:rPr>
                <w:rFonts w:ascii="仿宋" w:hAnsi="仿宋" w:cs="仿宋"/>
                <w:kern w:val="0"/>
                <w:sz w:val="21"/>
                <w:szCs w:val="21"/>
              </w:rPr>
            </w:pPr>
            <w:r>
              <w:rPr>
                <w:rFonts w:hint="eastAsia" w:ascii="宋体" w:hAnsi="宋体"/>
                <w:sz w:val="21"/>
                <w:szCs w:val="21"/>
                <w:lang w:val="zh-CN"/>
              </w:rPr>
              <w:t>★</w:t>
            </w:r>
            <w:r>
              <w:rPr>
                <w:rFonts w:hint="eastAsia" w:ascii="仿宋" w:hAnsi="仿宋" w:cs="仿宋"/>
                <w:kern w:val="0"/>
                <w:sz w:val="21"/>
                <w:szCs w:val="21"/>
              </w:rPr>
              <w:t>网店美工</w:t>
            </w:r>
          </w:p>
          <w:p>
            <w:pPr>
              <w:widowControl/>
              <w:shd w:val="clear" w:color="auto" w:fill="FFFFFF"/>
              <w:spacing w:line="240" w:lineRule="auto"/>
              <w:jc w:val="center"/>
              <w:rPr>
                <w:rFonts w:ascii="仿宋" w:hAnsi="仿宋" w:cs="仿宋"/>
                <w:kern w:val="0"/>
                <w:sz w:val="21"/>
                <w:szCs w:val="21"/>
              </w:rPr>
            </w:pPr>
            <w:r>
              <w:rPr>
                <w:rFonts w:hint="eastAsia" w:ascii="宋体" w:hAnsi="宋体"/>
                <w:sz w:val="21"/>
                <w:szCs w:val="21"/>
                <w:lang w:val="zh-CN"/>
              </w:rPr>
              <w:t>★</w:t>
            </w:r>
            <w:r>
              <w:rPr>
                <w:rFonts w:hint="eastAsia" w:ascii="仿宋" w:hAnsi="仿宋" w:cs="仿宋"/>
                <w:kern w:val="0"/>
                <w:sz w:val="21"/>
                <w:szCs w:val="21"/>
              </w:rPr>
              <w:t>网络客户服务实务</w:t>
            </w:r>
          </w:p>
          <w:p>
            <w:pPr>
              <w:widowControl/>
              <w:shd w:val="clear" w:color="auto" w:fill="FFFFFF"/>
              <w:spacing w:line="240" w:lineRule="auto"/>
              <w:rPr>
                <w:rFonts w:ascii="仿宋" w:hAnsi="仿宋" w:cs="仿宋"/>
                <w:kern w:val="0"/>
                <w:sz w:val="21"/>
                <w:szCs w:val="21"/>
              </w:rPr>
            </w:pPr>
          </w:p>
        </w:tc>
        <w:tc>
          <w:tcPr>
            <w:tcW w:w="2126"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ascii="仿宋" w:hAnsi="仿宋" w:cs="仿宋"/>
                <w:kern w:val="0"/>
                <w:sz w:val="21"/>
                <w:szCs w:val="21"/>
              </w:rPr>
              <w:t>电子商务法律法规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exac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第二学期</w:t>
            </w:r>
          </w:p>
        </w:tc>
        <w:tc>
          <w:tcPr>
            <w:tcW w:w="1944"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实用英语、体育、毛概、计算机、应用数学</w:t>
            </w:r>
          </w:p>
          <w:p>
            <w:pPr>
              <w:widowControl/>
              <w:shd w:val="clear" w:color="auto" w:fill="FFFFFF"/>
              <w:spacing w:line="240" w:lineRule="auto"/>
              <w:jc w:val="center"/>
              <w:rPr>
                <w:rFonts w:ascii="仿宋" w:hAnsi="仿宋" w:cs="仿宋"/>
                <w:kern w:val="0"/>
                <w:sz w:val="21"/>
                <w:szCs w:val="21"/>
              </w:rPr>
            </w:pPr>
          </w:p>
        </w:tc>
        <w:tc>
          <w:tcPr>
            <w:tcW w:w="1808" w:type="dxa"/>
            <w:vAlign w:val="center"/>
          </w:tcPr>
          <w:p>
            <w:pPr>
              <w:widowControl/>
              <w:shd w:val="clear" w:color="auto" w:fill="FFFFFF"/>
              <w:spacing w:line="240" w:lineRule="auto"/>
              <w:jc w:val="center"/>
              <w:rPr>
                <w:rFonts w:ascii="仿宋" w:hAnsi="仿宋" w:cs="仿宋"/>
                <w:kern w:val="0"/>
                <w:sz w:val="21"/>
                <w:szCs w:val="21"/>
              </w:rPr>
            </w:pP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图形图像处理</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客户关系管理</w:t>
            </w:r>
          </w:p>
        </w:tc>
        <w:tc>
          <w:tcPr>
            <w:tcW w:w="20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ascii="宋体" w:hAnsi="宋体"/>
                <w:sz w:val="21"/>
                <w:szCs w:val="21"/>
                <w:lang w:val="zh-CN"/>
              </w:rPr>
              <w:t>★</w:t>
            </w:r>
            <w:r>
              <w:rPr>
                <w:rFonts w:hint="eastAsia" w:ascii="仿宋" w:hAnsi="仿宋" w:cs="仿宋"/>
                <w:kern w:val="0"/>
                <w:sz w:val="21"/>
                <w:szCs w:val="21"/>
              </w:rPr>
              <w:t>网络营销</w:t>
            </w:r>
          </w:p>
        </w:tc>
        <w:tc>
          <w:tcPr>
            <w:tcW w:w="2126" w:type="dxa"/>
            <w:vAlign w:val="center"/>
          </w:tcPr>
          <w:p>
            <w:pPr>
              <w:widowControl/>
              <w:shd w:val="clear" w:color="auto" w:fill="FFFFFF"/>
              <w:spacing w:line="480" w:lineRule="exact"/>
              <w:ind w:firstLine="480" w:firstLineChars="200"/>
              <w:jc w:val="center"/>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exact"/>
        </w:trPr>
        <w:tc>
          <w:tcPr>
            <w:tcW w:w="1401" w:type="dxa"/>
            <w:vAlign w:val="center"/>
          </w:tcPr>
          <w:p>
            <w:pPr>
              <w:widowControl/>
              <w:shd w:val="clear" w:color="auto" w:fill="FFFFFF"/>
              <w:spacing w:line="480" w:lineRule="exact"/>
              <w:jc w:val="center"/>
              <w:rPr>
                <w:rFonts w:cs="宋体" w:asciiTheme="minorEastAsia" w:hAnsiTheme="minorEastAsia"/>
                <w:kern w:val="0"/>
                <w:szCs w:val="21"/>
              </w:rPr>
            </w:pPr>
            <w:r>
              <w:rPr>
                <w:rFonts w:hint="eastAsia" w:cs="宋体" w:asciiTheme="minorEastAsia" w:hAnsiTheme="minorEastAsia"/>
                <w:kern w:val="0"/>
                <w:szCs w:val="21"/>
              </w:rPr>
              <w:t>第一学期</w:t>
            </w:r>
          </w:p>
        </w:tc>
        <w:tc>
          <w:tcPr>
            <w:tcW w:w="1944" w:type="dxa"/>
            <w:vAlign w:val="center"/>
          </w:tcPr>
          <w:p>
            <w:pPr>
              <w:widowControl/>
              <w:shd w:val="clear" w:color="auto" w:fill="FFFFFF"/>
              <w:spacing w:line="240" w:lineRule="auto"/>
              <w:jc w:val="left"/>
              <w:rPr>
                <w:rFonts w:ascii="仿宋" w:hAnsi="仿宋" w:cs="仿宋"/>
                <w:kern w:val="0"/>
                <w:sz w:val="21"/>
                <w:szCs w:val="21"/>
              </w:rPr>
            </w:pPr>
            <w:r>
              <w:rPr>
                <w:rFonts w:hint="eastAsia" w:ascii="仿宋" w:hAnsi="仿宋" w:cs="仿宋"/>
                <w:kern w:val="0"/>
                <w:sz w:val="21"/>
                <w:szCs w:val="21"/>
              </w:rPr>
              <w:t>军训、思修、实用英语、体育、徽商文化</w:t>
            </w:r>
          </w:p>
          <w:p>
            <w:pPr>
              <w:widowControl/>
              <w:shd w:val="clear" w:color="auto" w:fill="FFFFFF"/>
              <w:spacing w:line="240" w:lineRule="auto"/>
              <w:jc w:val="left"/>
              <w:rPr>
                <w:rFonts w:ascii="仿宋" w:hAnsi="仿宋" w:cs="仿宋"/>
                <w:kern w:val="0"/>
                <w:sz w:val="21"/>
                <w:szCs w:val="21"/>
              </w:rPr>
            </w:pPr>
          </w:p>
        </w:tc>
        <w:tc>
          <w:tcPr>
            <w:tcW w:w="1808" w:type="dxa"/>
            <w:vAlign w:val="center"/>
          </w:tcPr>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现代企业管理</w:t>
            </w:r>
          </w:p>
          <w:p>
            <w:pPr>
              <w:widowControl/>
              <w:shd w:val="clear" w:color="auto" w:fill="FFFFFF"/>
              <w:spacing w:line="240" w:lineRule="auto"/>
              <w:jc w:val="center"/>
              <w:rPr>
                <w:rFonts w:ascii="仿宋" w:hAnsi="仿宋" w:cs="仿宋"/>
                <w:kern w:val="0"/>
                <w:sz w:val="21"/>
                <w:szCs w:val="21"/>
              </w:rPr>
            </w:pPr>
            <w:r>
              <w:rPr>
                <w:rFonts w:hint="eastAsia" w:ascii="仿宋" w:hAnsi="仿宋" w:cs="仿宋"/>
                <w:kern w:val="0"/>
                <w:sz w:val="21"/>
                <w:szCs w:val="21"/>
              </w:rPr>
              <w:t>电子商务概论</w:t>
            </w:r>
          </w:p>
        </w:tc>
        <w:tc>
          <w:tcPr>
            <w:tcW w:w="2001" w:type="dxa"/>
            <w:vAlign w:val="center"/>
          </w:tcPr>
          <w:p>
            <w:pPr>
              <w:widowControl/>
              <w:shd w:val="clear" w:color="auto" w:fill="FFFFFF"/>
              <w:spacing w:line="480" w:lineRule="exact"/>
              <w:jc w:val="left"/>
              <w:rPr>
                <w:rFonts w:cs="宋体" w:asciiTheme="minorEastAsia" w:hAnsiTheme="minorEastAsia"/>
                <w:kern w:val="0"/>
                <w:szCs w:val="21"/>
              </w:rPr>
            </w:pPr>
          </w:p>
        </w:tc>
        <w:tc>
          <w:tcPr>
            <w:tcW w:w="2126" w:type="dxa"/>
            <w:vAlign w:val="center"/>
          </w:tcPr>
          <w:p>
            <w:pPr>
              <w:widowControl/>
              <w:shd w:val="clear" w:color="auto" w:fill="FFFFFF"/>
              <w:spacing w:line="480" w:lineRule="exact"/>
              <w:ind w:firstLine="480" w:firstLineChars="200"/>
              <w:jc w:val="left"/>
              <w:rPr>
                <w:rFonts w:cs="宋体" w:asciiTheme="minorEastAsia" w:hAnsiTheme="minorEastAsia"/>
                <w:kern w:val="0"/>
                <w:szCs w:val="21"/>
              </w:rPr>
            </w:pPr>
          </w:p>
        </w:tc>
      </w:tr>
    </w:tbl>
    <w:p>
      <w:pPr>
        <w:ind w:firstLine="420" w:firstLineChars="200"/>
        <w:jc w:val="center"/>
        <w:rPr>
          <w:rFonts w:ascii="仿宋" w:hAnsi="仿宋" w:cs="仿宋"/>
          <w:sz w:val="21"/>
          <w:szCs w:val="21"/>
        </w:rPr>
      </w:pPr>
      <w:r>
        <w:rPr>
          <w:rFonts w:hint="eastAsia" w:ascii="仿宋" w:hAnsi="仿宋" w:cs="仿宋"/>
          <w:sz w:val="21"/>
          <w:szCs w:val="21"/>
        </w:rPr>
        <w:t>表4 课程分布图</w:t>
      </w:r>
    </w:p>
    <w:p>
      <w:pPr>
        <w:ind w:firstLine="480" w:firstLineChars="200"/>
        <w:rPr>
          <w:rFonts w:ascii="楷体" w:hAnsi="楷体" w:eastAsia="楷体" w:cs="楷体"/>
        </w:rPr>
      </w:pPr>
      <w:r>
        <w:rPr>
          <w:rFonts w:hint="eastAsia" w:ascii="楷体" w:hAnsi="楷体" w:eastAsia="楷体" w:cs="楷体"/>
        </w:rPr>
        <w:t>3.专业核心课程主要教学内容</w:t>
      </w:r>
    </w:p>
    <w:p>
      <w:pPr>
        <w:ind w:left="480" w:leftChars="200"/>
      </w:pPr>
      <w:r>
        <w:rPr>
          <w:rFonts w:hint="eastAsia"/>
        </w:rPr>
        <w:t>本专业核心课程主要教学内容如表5所示。</w:t>
      </w:r>
    </w:p>
    <w:p>
      <w:pPr>
        <w:ind w:left="480" w:leftChars="200"/>
      </w:pPr>
    </w:p>
    <w:p>
      <w:pPr>
        <w:ind w:left="480" w:leftChars="200"/>
      </w:pPr>
    </w:p>
    <w:p>
      <w:pPr>
        <w:ind w:left="480" w:leftChars="200"/>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372"/>
        <w:gridCol w:w="7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jc w:val="center"/>
              <w:rPr>
                <w:sz w:val="21"/>
                <w:szCs w:val="21"/>
              </w:rPr>
            </w:pPr>
            <w:r>
              <w:rPr>
                <w:rFonts w:hint="eastAsia"/>
                <w:sz w:val="21"/>
                <w:szCs w:val="21"/>
              </w:rPr>
              <w:t>序号</w:t>
            </w:r>
          </w:p>
        </w:tc>
        <w:tc>
          <w:tcPr>
            <w:tcW w:w="1372" w:type="dxa"/>
          </w:tcPr>
          <w:p>
            <w:pPr>
              <w:autoSpaceDE w:val="0"/>
              <w:autoSpaceDN w:val="0"/>
              <w:adjustRightInd w:val="0"/>
              <w:snapToGrid w:val="0"/>
              <w:jc w:val="left"/>
              <w:rPr>
                <w:rFonts w:ascii="宋体" w:hAnsi="宋体"/>
              </w:rPr>
            </w:pPr>
            <w:r>
              <w:rPr>
                <w:rFonts w:hint="eastAsia" w:ascii="宋体" w:hAnsi="宋体"/>
              </w:rPr>
              <w:t>专业核心课程名称</w:t>
            </w:r>
          </w:p>
        </w:tc>
        <w:tc>
          <w:tcPr>
            <w:tcW w:w="7152" w:type="dxa"/>
          </w:tcPr>
          <w:p>
            <w:pPr>
              <w:autoSpaceDE w:val="0"/>
              <w:autoSpaceDN w:val="0"/>
              <w:adjustRightInd w:val="0"/>
              <w:snapToGrid w:val="0"/>
              <w:jc w:val="left"/>
              <w:rPr>
                <w:rFonts w:ascii="宋体" w:hAnsi="宋体"/>
              </w:rPr>
            </w:pPr>
            <w:r>
              <w:rPr>
                <w:rFonts w:hint="eastAsia" w:ascii="宋体" w:hAnsi="宋体"/>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jc w:val="center"/>
              <w:rPr>
                <w:sz w:val="21"/>
                <w:szCs w:val="21"/>
              </w:rPr>
            </w:pPr>
            <w:r>
              <w:rPr>
                <w:rFonts w:hint="eastAsia"/>
                <w:sz w:val="21"/>
                <w:szCs w:val="21"/>
              </w:rPr>
              <w:t>1</w:t>
            </w:r>
          </w:p>
        </w:tc>
        <w:tc>
          <w:tcPr>
            <w:tcW w:w="1372" w:type="dxa"/>
          </w:tcPr>
          <w:p>
            <w:pPr>
              <w:autoSpaceDE w:val="0"/>
              <w:autoSpaceDN w:val="0"/>
              <w:adjustRightInd w:val="0"/>
              <w:snapToGrid w:val="0"/>
              <w:jc w:val="left"/>
              <w:rPr>
                <w:rFonts w:ascii="宋体" w:hAnsi="宋体"/>
              </w:rPr>
            </w:pPr>
            <w:r>
              <w:rPr>
                <w:rFonts w:hint="eastAsia" w:ascii="宋体" w:hAnsi="宋体"/>
                <w:lang w:val="zh-CN"/>
              </w:rPr>
              <w:t>★</w:t>
            </w:r>
            <w:r>
              <w:rPr>
                <w:rFonts w:ascii="宋体" w:hAnsi="宋体"/>
              </w:rPr>
              <w:t>网络营销</w:t>
            </w:r>
          </w:p>
        </w:tc>
        <w:tc>
          <w:tcPr>
            <w:tcW w:w="7152" w:type="dxa"/>
          </w:tcPr>
          <w:p>
            <w:pPr>
              <w:autoSpaceDE w:val="0"/>
              <w:autoSpaceDN w:val="0"/>
              <w:adjustRightInd w:val="0"/>
              <w:snapToGrid w:val="0"/>
              <w:jc w:val="left"/>
              <w:rPr>
                <w:rFonts w:ascii="宋体" w:hAnsi="宋体"/>
              </w:rPr>
            </w:pPr>
            <w:r>
              <w:rPr>
                <w:rFonts w:hint="eastAsia" w:ascii="宋体" w:hAnsi="宋体"/>
              </w:rPr>
              <w:t>（1）采用“1+X”课证融通开展教学</w:t>
            </w:r>
          </w:p>
          <w:p>
            <w:pPr>
              <w:autoSpaceDE w:val="0"/>
              <w:autoSpaceDN w:val="0"/>
              <w:adjustRightInd w:val="0"/>
              <w:snapToGrid w:val="0"/>
              <w:jc w:val="left"/>
              <w:rPr>
                <w:rFonts w:ascii="宋体" w:hAnsi="宋体"/>
              </w:rPr>
            </w:pPr>
            <w:r>
              <w:rPr>
                <w:rFonts w:hint="eastAsia" w:ascii="宋体" w:hAnsi="宋体"/>
              </w:rPr>
              <w:t>（2）进行网络市场调研分析流程和方法，掌握SEO、SEM、信息流、网络新媒体推广工具。</w:t>
            </w:r>
          </w:p>
          <w:p>
            <w:pPr>
              <w:autoSpaceDE w:val="0"/>
              <w:autoSpaceDN w:val="0"/>
              <w:adjustRightInd w:val="0"/>
              <w:snapToGrid w:val="0"/>
              <w:jc w:val="left"/>
              <w:rPr>
                <w:rFonts w:ascii="宋体" w:hAnsi="宋体"/>
              </w:rPr>
            </w:pPr>
            <w:r>
              <w:rPr>
                <w:rFonts w:hint="eastAsia" w:ascii="宋体" w:hAnsi="宋体"/>
              </w:rPr>
              <w:t>（3）掌握</w:t>
            </w:r>
            <w:r>
              <w:rPr>
                <w:rFonts w:hint="eastAsia" w:ascii="宋体" w:hAnsi="宋体"/>
                <w:lang w:val="zh-CN"/>
              </w:rPr>
              <w:t>网络营销推广</w:t>
            </w:r>
            <w:r>
              <w:rPr>
                <w:rFonts w:hint="eastAsia" w:ascii="宋体" w:hAnsi="宋体"/>
              </w:rPr>
              <w:t>策划</w:t>
            </w:r>
            <w:r>
              <w:rPr>
                <w:rFonts w:hint="eastAsia" w:ascii="宋体" w:hAnsi="宋体"/>
                <w:lang w:val="zh-CN"/>
              </w:rPr>
              <w:t>，</w:t>
            </w:r>
            <w:r>
              <w:rPr>
                <w:rFonts w:hint="eastAsia" w:ascii="宋体" w:hAnsi="宋体"/>
              </w:rPr>
              <w:t>根据网站（店）推广目标选择合理的推广方式，进行网络推广策划、网络品牌策划等，进行推广实施，效果评估与优化。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jc w:val="center"/>
              <w:rPr>
                <w:sz w:val="21"/>
                <w:szCs w:val="21"/>
              </w:rPr>
            </w:pPr>
            <w:r>
              <w:rPr>
                <w:rFonts w:hint="eastAsia"/>
                <w:sz w:val="21"/>
                <w:szCs w:val="21"/>
              </w:rPr>
              <w:t>2</w:t>
            </w:r>
          </w:p>
        </w:tc>
        <w:tc>
          <w:tcPr>
            <w:tcW w:w="1372" w:type="dxa"/>
            <w:vAlign w:val="center"/>
          </w:tcPr>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网店美工</w:t>
            </w:r>
          </w:p>
        </w:tc>
        <w:tc>
          <w:tcPr>
            <w:tcW w:w="7152" w:type="dxa"/>
          </w:tcPr>
          <w:p>
            <w:pPr>
              <w:autoSpaceDE w:val="0"/>
              <w:autoSpaceDN w:val="0"/>
              <w:adjustRightInd w:val="0"/>
              <w:snapToGrid w:val="0"/>
              <w:jc w:val="left"/>
              <w:rPr>
                <w:rFonts w:ascii="宋体" w:hAnsi="宋体"/>
              </w:rPr>
            </w:pPr>
            <w:r>
              <w:rPr>
                <w:rFonts w:hint="eastAsia" w:ascii="宋体" w:hAnsi="宋体"/>
              </w:rPr>
              <w:t>（1）采用课赛融通，将技能竞赛标准融入教学内容。</w:t>
            </w:r>
          </w:p>
          <w:p>
            <w:pPr>
              <w:autoSpaceDE w:val="0"/>
              <w:autoSpaceDN w:val="0"/>
              <w:adjustRightInd w:val="0"/>
              <w:snapToGrid w:val="0"/>
              <w:jc w:val="left"/>
              <w:rPr>
                <w:rFonts w:ascii="宋体" w:hAnsi="宋体"/>
              </w:rPr>
            </w:pPr>
            <w:r>
              <w:rPr>
                <w:rFonts w:hint="eastAsia" w:ascii="宋体" w:hAnsi="宋体"/>
              </w:rPr>
              <w:t>（2）培养学生具备网络信息采集、筛选和编辑的能力，能够根据要求进行网店内容更新、策划与制作。</w:t>
            </w:r>
          </w:p>
          <w:p>
            <w:pPr>
              <w:autoSpaceDE w:val="0"/>
              <w:autoSpaceDN w:val="0"/>
              <w:adjustRightInd w:val="0"/>
              <w:snapToGrid w:val="0"/>
              <w:jc w:val="left"/>
              <w:rPr>
                <w:rFonts w:ascii="宋体" w:hAnsi="宋体"/>
                <w:lang w:val="zh-CN"/>
              </w:rPr>
            </w:pPr>
            <w:r>
              <w:rPr>
                <w:rFonts w:hint="eastAsia" w:ascii="宋体" w:hAnsi="宋体"/>
              </w:rPr>
              <w:t>（3）掌握摄影色彩、构图策略，进行创意拍摄，运用Photoshop、 Dreamweaver等软件进行商品图片处理、</w:t>
            </w:r>
            <w:r>
              <w:rPr>
                <w:rFonts w:hint="eastAsia" w:ascii="宋体" w:hAnsi="宋体"/>
                <w:lang w:val="zh-CN"/>
              </w:rPr>
              <w:t>直通车图设计、banner图设计、钻展图设计、促销海报</w:t>
            </w:r>
            <w:r>
              <w:rPr>
                <w:rFonts w:hint="eastAsia" w:ascii="宋体" w:hAnsi="宋体"/>
              </w:rPr>
              <w:t>设计等，完成网店设计与装修。</w:t>
            </w:r>
          </w:p>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4</w:t>
            </w:r>
            <w:r>
              <w:rPr>
                <w:rFonts w:hint="eastAsia" w:ascii="宋体" w:hAnsi="宋体"/>
                <w:lang w:val="zh-CN"/>
              </w:rPr>
              <w:t>）具有很强的审美观和视觉设计能力，</w:t>
            </w:r>
            <w:r>
              <w:rPr>
                <w:rFonts w:hint="eastAsia" w:ascii="宋体" w:hAnsi="宋体"/>
              </w:rPr>
              <w:t>具有</w:t>
            </w:r>
            <w:r>
              <w:rPr>
                <w:rFonts w:hint="eastAsia" w:ascii="宋体" w:hAnsi="宋体"/>
                <w:lang w:val="zh-CN"/>
              </w:rPr>
              <w:t>广告设计及优化、融媒体设计能力。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jc w:val="center"/>
              <w:rPr>
                <w:sz w:val="21"/>
                <w:szCs w:val="21"/>
              </w:rPr>
            </w:pPr>
            <w:r>
              <w:rPr>
                <w:rFonts w:hint="eastAsia"/>
                <w:sz w:val="21"/>
                <w:szCs w:val="21"/>
              </w:rPr>
              <w:t>3</w:t>
            </w:r>
          </w:p>
        </w:tc>
        <w:tc>
          <w:tcPr>
            <w:tcW w:w="1372" w:type="dxa"/>
            <w:vAlign w:val="center"/>
          </w:tcPr>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电子商务数据分析</w:t>
            </w:r>
          </w:p>
        </w:tc>
        <w:tc>
          <w:tcPr>
            <w:tcW w:w="7152" w:type="dxa"/>
          </w:tcPr>
          <w:p>
            <w:pPr>
              <w:autoSpaceDE w:val="0"/>
              <w:autoSpaceDN w:val="0"/>
              <w:adjustRightInd w:val="0"/>
              <w:snapToGrid w:val="0"/>
              <w:jc w:val="left"/>
              <w:rPr>
                <w:rFonts w:ascii="宋体" w:hAnsi="宋体"/>
                <w:lang w:val="zh-CN"/>
              </w:rPr>
            </w:pPr>
            <w:r>
              <w:rPr>
                <w:rFonts w:hint="eastAsia" w:ascii="宋体" w:hAnsi="宋体"/>
              </w:rPr>
              <w:t>（1）采用“1+X”课证融通开展教学。培养学生</w:t>
            </w:r>
            <w:r>
              <w:rPr>
                <w:rFonts w:hint="eastAsia" w:ascii="宋体" w:hAnsi="宋体"/>
                <w:lang w:val="zh-CN"/>
              </w:rPr>
              <w:t>具有基本的数据采集和分析能力，根据运营目标，采集电子商务平台数据，并依据店铺、产品和客户数据等各类数据，进行分析与预测。</w:t>
            </w:r>
          </w:p>
          <w:p>
            <w:pPr>
              <w:autoSpaceDE w:val="0"/>
              <w:autoSpaceDN w:val="0"/>
              <w:adjustRightInd w:val="0"/>
              <w:snapToGrid w:val="0"/>
              <w:jc w:val="left"/>
              <w:rPr>
                <w:rFonts w:ascii="宋体" w:hAnsi="宋体"/>
                <w:lang w:val="zh-CN"/>
              </w:rPr>
            </w:pPr>
            <w:r>
              <w:rPr>
                <w:rFonts w:hint="eastAsia" w:ascii="宋体" w:hAnsi="宋体"/>
                <w:lang w:val="zh-CN"/>
              </w:rPr>
              <w:t>（</w:t>
            </w:r>
            <w:r>
              <w:rPr>
                <w:rFonts w:hint="eastAsia" w:ascii="宋体" w:hAnsi="宋体"/>
              </w:rPr>
              <w:t>2</w:t>
            </w:r>
            <w:r>
              <w:rPr>
                <w:rFonts w:hint="eastAsia" w:ascii="宋体" w:hAnsi="宋体"/>
                <w:lang w:val="zh-CN"/>
              </w:rPr>
              <w:t>）具有企业流量数据统计能力，网络市场调研与定位能力。</w:t>
            </w:r>
          </w:p>
          <w:p>
            <w:pPr>
              <w:autoSpaceDE w:val="0"/>
              <w:autoSpaceDN w:val="0"/>
              <w:adjustRightInd w:val="0"/>
              <w:snapToGrid w:val="0"/>
              <w:jc w:val="left"/>
              <w:rPr>
                <w:rFonts w:ascii="宋体" w:hAnsi="宋体"/>
                <w:lang w:val="zh-CN"/>
              </w:rPr>
            </w:pPr>
            <w:r>
              <w:rPr>
                <w:rFonts w:hint="eastAsia" w:ascii="宋体" w:hAnsi="宋体"/>
                <w:lang w:val="zh-CN"/>
              </w:rPr>
              <w:t>（</w:t>
            </w:r>
            <w:r>
              <w:rPr>
                <w:rFonts w:hint="eastAsia" w:ascii="宋体" w:hAnsi="宋体"/>
              </w:rPr>
              <w:t>3</w:t>
            </w:r>
            <w:r>
              <w:rPr>
                <w:rFonts w:hint="eastAsia" w:ascii="宋体" w:hAnsi="宋体"/>
                <w:lang w:val="zh-CN"/>
              </w:rPr>
              <w:t>）具备数据化运营的能力，具体包括数据采集与处理、数据监控与汇报、数据分析、数据分析报告撰写、数据化运营过程的管理与优化等</w:t>
            </w:r>
          </w:p>
          <w:p>
            <w:pPr>
              <w:autoSpaceDE w:val="0"/>
              <w:autoSpaceDN w:val="0"/>
              <w:adjustRightInd w:val="0"/>
              <w:snapToGrid w:val="0"/>
              <w:jc w:val="left"/>
              <w:rPr>
                <w:rFonts w:ascii="宋体" w:hAnsi="宋体"/>
              </w:rPr>
            </w:pPr>
            <w:r>
              <w:rPr>
                <w:rFonts w:hint="eastAsia" w:ascii="宋体" w:hAnsi="宋体"/>
              </w:rPr>
              <w:t>（4）掌握在</w:t>
            </w:r>
            <w:r>
              <w:rPr>
                <w:rFonts w:hint="eastAsia" w:ascii="宋体" w:hAnsi="宋体"/>
                <w:lang w:val="zh-CN"/>
              </w:rPr>
              <w:t>用户行为分析、推荐算法设计、社会网络分析</w:t>
            </w:r>
            <w:r>
              <w:rPr>
                <w:rFonts w:hint="eastAsia" w:ascii="宋体" w:hAnsi="宋体"/>
              </w:rPr>
              <w:t>层面</w:t>
            </w:r>
            <w:r>
              <w:rPr>
                <w:rFonts w:hint="eastAsia" w:ascii="宋体" w:hAnsi="宋体"/>
                <w:lang w:val="zh-CN"/>
              </w:rPr>
              <w:t>数据分析的应用，</w:t>
            </w:r>
            <w:r>
              <w:rPr>
                <w:rFonts w:hint="eastAsia" w:ascii="宋体" w:hAnsi="宋体"/>
              </w:rPr>
              <w:t>具备</w:t>
            </w:r>
            <w:r>
              <w:rPr>
                <w:rFonts w:hint="eastAsia" w:ascii="宋体" w:hAnsi="宋体"/>
                <w:lang w:val="zh-CN"/>
              </w:rPr>
              <w:t>以用户为中心的现代商务</w:t>
            </w:r>
            <w:r>
              <w:rPr>
                <w:rFonts w:hint="eastAsia" w:ascii="宋体" w:hAnsi="宋体"/>
              </w:rPr>
              <w:t>思维</w:t>
            </w:r>
            <w:r>
              <w:rPr>
                <w:rFonts w:hint="eastAsia" w:ascii="宋体" w:hAnsi="宋体"/>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8" w:hRule="atLeast"/>
        </w:trPr>
        <w:tc>
          <w:tcPr>
            <w:tcW w:w="426" w:type="dxa"/>
          </w:tcPr>
          <w:p>
            <w:pPr>
              <w:jc w:val="center"/>
              <w:rPr>
                <w:sz w:val="21"/>
                <w:szCs w:val="21"/>
              </w:rPr>
            </w:pPr>
            <w:r>
              <w:rPr>
                <w:rFonts w:hint="eastAsia"/>
                <w:sz w:val="21"/>
                <w:szCs w:val="21"/>
              </w:rPr>
              <w:t>4</w:t>
            </w:r>
          </w:p>
        </w:tc>
        <w:tc>
          <w:tcPr>
            <w:tcW w:w="1372" w:type="dxa"/>
            <w:vAlign w:val="center"/>
          </w:tcPr>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新媒体运营</w:t>
            </w:r>
          </w:p>
        </w:tc>
        <w:tc>
          <w:tcPr>
            <w:tcW w:w="7152" w:type="dxa"/>
          </w:tcPr>
          <w:p>
            <w:pPr>
              <w:autoSpaceDE w:val="0"/>
              <w:autoSpaceDN w:val="0"/>
              <w:adjustRightInd w:val="0"/>
              <w:snapToGrid w:val="0"/>
              <w:jc w:val="left"/>
              <w:rPr>
                <w:rFonts w:ascii="宋体" w:hAnsi="宋体"/>
                <w:lang w:val="zh-CN"/>
              </w:rPr>
            </w:pPr>
            <w:r>
              <w:rPr>
                <w:rFonts w:hint="eastAsia" w:ascii="宋体" w:hAnsi="宋体"/>
              </w:rPr>
              <w:t>（1）采用校企“双元”育人、产教融合育人模式，教学中对照“1+X”标准和行业规范，落实“课证融通”，对接岗位技能要求。依托企业真实项目在</w:t>
            </w:r>
            <w:r>
              <w:rPr>
                <w:rFonts w:hint="eastAsia" w:ascii="宋体" w:hAnsi="宋体"/>
                <w:lang w:val="zh-CN"/>
              </w:rPr>
              <w:t>垂直电商和平台电商、</w:t>
            </w:r>
            <w:r>
              <w:rPr>
                <w:rFonts w:hint="eastAsia" w:ascii="宋体" w:hAnsi="宋体"/>
              </w:rPr>
              <w:t>社交平台等进行营销推广，开展商品</w:t>
            </w:r>
            <w:r>
              <w:rPr>
                <w:rFonts w:hint="eastAsia" w:ascii="宋体" w:hAnsi="宋体"/>
                <w:lang w:val="zh-CN"/>
              </w:rPr>
              <w:t>信息采集与推广，软文</w:t>
            </w:r>
            <w:r>
              <w:rPr>
                <w:rFonts w:hint="eastAsia" w:ascii="宋体" w:hAnsi="宋体"/>
              </w:rPr>
              <w:t>发布</w:t>
            </w:r>
            <w:r>
              <w:rPr>
                <w:rFonts w:hint="eastAsia" w:ascii="宋体" w:hAnsi="宋体"/>
                <w:lang w:val="zh-CN"/>
              </w:rPr>
              <w:t>、</w:t>
            </w:r>
            <w:r>
              <w:rPr>
                <w:rFonts w:hint="eastAsia" w:ascii="宋体" w:hAnsi="宋体"/>
              </w:rPr>
              <w:t>短视频引流等新媒体推广活动</w:t>
            </w:r>
            <w:r>
              <w:rPr>
                <w:rFonts w:hint="eastAsia" w:ascii="宋体" w:hAnsi="宋体"/>
                <w:lang w:val="zh-CN"/>
              </w:rPr>
              <w:t>。</w:t>
            </w:r>
          </w:p>
          <w:p>
            <w:pPr>
              <w:autoSpaceDE w:val="0"/>
              <w:autoSpaceDN w:val="0"/>
              <w:adjustRightInd w:val="0"/>
              <w:snapToGrid w:val="0"/>
              <w:jc w:val="left"/>
              <w:rPr>
                <w:rFonts w:ascii="宋体" w:hAnsi="宋体"/>
              </w:rPr>
            </w:pPr>
            <w:r>
              <w:rPr>
                <w:rFonts w:hint="eastAsia" w:ascii="宋体" w:hAnsi="宋体"/>
              </w:rPr>
              <w:t>（2）具有直播营销与运营管理能力。掌握直播工作流程，掌握行业新技术新工艺开展精准营销、创意营销。具备直播营销方案策划、直播实施、控制与复盘优化等能力。</w:t>
            </w:r>
          </w:p>
          <w:p>
            <w:pPr>
              <w:autoSpaceDE w:val="0"/>
              <w:autoSpaceDN w:val="0"/>
              <w:adjustRightInd w:val="0"/>
              <w:snapToGrid w:val="0"/>
              <w:jc w:val="left"/>
              <w:rPr>
                <w:rFonts w:ascii="宋体" w:hAnsi="宋体"/>
              </w:rPr>
            </w:pPr>
            <w:r>
              <w:rPr>
                <w:rFonts w:hint="eastAsia" w:ascii="宋体" w:hAnsi="宋体"/>
              </w:rPr>
              <w:t>（3）组建结构化的直播团队，打造特色鲜明的主播IP，进行直播间场景的设计与布置，掌握直播营销“人货场”的策划与实施。</w:t>
            </w:r>
          </w:p>
          <w:p>
            <w:pPr>
              <w:autoSpaceDE w:val="0"/>
              <w:autoSpaceDN w:val="0"/>
              <w:adjustRightInd w:val="0"/>
              <w:snapToGrid w:val="0"/>
              <w:jc w:val="left"/>
              <w:rPr>
                <w:rFonts w:ascii="宋体" w:hAnsi="宋体"/>
              </w:rPr>
            </w:pPr>
            <w:r>
              <w:rPr>
                <w:rFonts w:hint="eastAsia" w:ascii="宋体" w:hAnsi="宋体"/>
              </w:rPr>
              <w:t>（4）掌握直播间销售技巧，掌握产品介绍、互动、促单的节奏与方法，实施直播复盘与优化。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jc w:val="center"/>
              <w:rPr>
                <w:sz w:val="21"/>
                <w:szCs w:val="21"/>
              </w:rPr>
            </w:pPr>
            <w:r>
              <w:rPr>
                <w:rFonts w:hint="eastAsia"/>
                <w:sz w:val="21"/>
                <w:szCs w:val="21"/>
              </w:rPr>
              <w:t>5</w:t>
            </w:r>
          </w:p>
        </w:tc>
        <w:tc>
          <w:tcPr>
            <w:tcW w:w="1372" w:type="dxa"/>
            <w:vAlign w:val="center"/>
          </w:tcPr>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网店运营推广</w:t>
            </w:r>
          </w:p>
        </w:tc>
        <w:tc>
          <w:tcPr>
            <w:tcW w:w="7152" w:type="dxa"/>
          </w:tcPr>
          <w:p>
            <w:pPr>
              <w:autoSpaceDE w:val="0"/>
              <w:autoSpaceDN w:val="0"/>
              <w:adjustRightInd w:val="0"/>
              <w:snapToGrid w:val="0"/>
              <w:jc w:val="left"/>
              <w:rPr>
                <w:rFonts w:ascii="宋体" w:hAnsi="宋体"/>
              </w:rPr>
            </w:pPr>
            <w:r>
              <w:rPr>
                <w:rFonts w:hint="eastAsia" w:ascii="宋体" w:hAnsi="宋体"/>
              </w:rPr>
              <w:t>（1）采用“1+X”课证融通、课赛融通、岗位标准组织教学内容。</w:t>
            </w:r>
          </w:p>
          <w:p>
            <w:pPr>
              <w:autoSpaceDE w:val="0"/>
              <w:autoSpaceDN w:val="0"/>
              <w:adjustRightInd w:val="0"/>
              <w:snapToGrid w:val="0"/>
              <w:jc w:val="left"/>
              <w:rPr>
                <w:rFonts w:ascii="宋体" w:hAnsi="宋体"/>
              </w:rPr>
            </w:pPr>
            <w:r>
              <w:rPr>
                <w:rFonts w:hint="eastAsia" w:ascii="宋体" w:hAnsi="宋体"/>
              </w:rPr>
              <w:t>（2）进行</w:t>
            </w:r>
            <w:r>
              <w:rPr>
                <w:rFonts w:hint="eastAsia" w:ascii="宋体" w:hAnsi="宋体"/>
                <w:lang w:val="zh-CN"/>
              </w:rPr>
              <w:t>网店（含跨境店铺）开设与定位、网店商品信息维护、网店订单管理与物流渠道的建立，掌握网店运营工具运用，店外推广与宣传，掌握常见的促销推广能力。</w:t>
            </w:r>
          </w:p>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3</w:t>
            </w:r>
            <w:r>
              <w:rPr>
                <w:rFonts w:hint="eastAsia" w:ascii="宋体" w:hAnsi="宋体"/>
                <w:lang w:val="zh-CN"/>
              </w:rPr>
              <w:t>）具备</w:t>
            </w:r>
            <w:r>
              <w:rPr>
                <w:rFonts w:hint="eastAsia" w:ascii="宋体" w:hAnsi="宋体"/>
              </w:rPr>
              <w:t>网络</w:t>
            </w:r>
            <w:r>
              <w:rPr>
                <w:rFonts w:hint="eastAsia" w:ascii="宋体" w:hAnsi="宋体"/>
                <w:lang w:val="zh-CN"/>
              </w:rPr>
              <w:t>客户服务、网店推广、网店规划与运营能力。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jc w:val="center"/>
              <w:rPr>
                <w:sz w:val="21"/>
                <w:szCs w:val="21"/>
              </w:rPr>
            </w:pPr>
            <w:r>
              <w:rPr>
                <w:rFonts w:hint="eastAsia"/>
                <w:sz w:val="21"/>
                <w:szCs w:val="21"/>
              </w:rPr>
              <w:t>6</w:t>
            </w:r>
          </w:p>
        </w:tc>
        <w:tc>
          <w:tcPr>
            <w:tcW w:w="1372" w:type="dxa"/>
            <w:vAlign w:val="center"/>
          </w:tcPr>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网络客户服务实务</w:t>
            </w:r>
          </w:p>
        </w:tc>
        <w:tc>
          <w:tcPr>
            <w:tcW w:w="7152" w:type="dxa"/>
          </w:tcPr>
          <w:p>
            <w:pPr>
              <w:numPr>
                <w:ilvl w:val="0"/>
                <w:numId w:val="6"/>
              </w:numPr>
              <w:autoSpaceDE w:val="0"/>
              <w:autoSpaceDN w:val="0"/>
              <w:adjustRightInd w:val="0"/>
              <w:snapToGrid w:val="0"/>
              <w:jc w:val="left"/>
              <w:rPr>
                <w:rFonts w:ascii="宋体" w:hAnsi="宋体"/>
              </w:rPr>
            </w:pPr>
            <w:r>
              <w:rPr>
                <w:rFonts w:hint="eastAsia" w:ascii="宋体" w:hAnsi="宋体"/>
              </w:rPr>
              <w:t>采用“1+X”课证融通、产教融合组织教学。</w:t>
            </w:r>
          </w:p>
          <w:p>
            <w:pPr>
              <w:numPr>
                <w:ilvl w:val="0"/>
                <w:numId w:val="6"/>
              </w:numPr>
              <w:autoSpaceDE w:val="0"/>
              <w:autoSpaceDN w:val="0"/>
              <w:adjustRightInd w:val="0"/>
              <w:snapToGrid w:val="0"/>
              <w:jc w:val="left"/>
              <w:rPr>
                <w:rFonts w:ascii="宋体" w:hAnsi="宋体"/>
                <w:lang w:val="zh-CN"/>
              </w:rPr>
            </w:pPr>
            <w:r>
              <w:rPr>
                <w:rFonts w:hint="eastAsia" w:ascii="宋体" w:hAnsi="宋体"/>
                <w:lang w:val="zh-CN"/>
              </w:rPr>
              <w:t>通过客户端或电话与客户进行沟通，解决客户遇到的问题，关于商品、快递、售后、价格、网站活动、支付方式等疑问。</w:t>
            </w:r>
          </w:p>
          <w:p>
            <w:pPr>
              <w:autoSpaceDE w:val="0"/>
              <w:autoSpaceDN w:val="0"/>
              <w:adjustRightInd w:val="0"/>
              <w:snapToGrid w:val="0"/>
              <w:jc w:val="left"/>
              <w:rPr>
                <w:rFonts w:ascii="宋体" w:hAnsi="宋体"/>
              </w:rPr>
            </w:pPr>
            <w:r>
              <w:rPr>
                <w:rFonts w:hint="eastAsia" w:ascii="宋体" w:hAnsi="宋体"/>
                <w:lang w:val="zh-CN"/>
              </w:rPr>
              <w:t>（</w:t>
            </w:r>
            <w:r>
              <w:rPr>
                <w:rFonts w:hint="eastAsia" w:ascii="宋体" w:hAnsi="宋体"/>
              </w:rPr>
              <w:t>3</w:t>
            </w:r>
            <w:r>
              <w:rPr>
                <w:rFonts w:hint="eastAsia" w:ascii="宋体" w:hAnsi="宋体"/>
                <w:lang w:val="zh-CN"/>
              </w:rPr>
              <w:t>）处理交易中的纠纷、售后服务以及订单出现异常或者无货等情况时与客户进行沟通协调，熟悉电子商务交易的流程，拥有良好的心理素质、与人沟通能力强。</w:t>
            </w:r>
          </w:p>
        </w:tc>
      </w:tr>
    </w:tbl>
    <w:p>
      <w:pPr>
        <w:jc w:val="center"/>
        <w:rPr>
          <w:b/>
          <w:bCs/>
        </w:rPr>
      </w:pPr>
      <w:r>
        <w:rPr>
          <w:rFonts w:hint="eastAsia" w:ascii="仿宋" w:hAnsi="仿宋" w:cs="仿宋"/>
          <w:sz w:val="21"/>
          <w:szCs w:val="21"/>
        </w:rPr>
        <w:t>表5  专业核心课程主要教学内容</w:t>
      </w:r>
    </w:p>
    <w:p>
      <w:pPr>
        <w:ind w:firstLine="480" w:firstLineChars="200"/>
        <w:rPr>
          <w:rFonts w:ascii="楷体" w:hAnsi="楷体" w:eastAsia="楷体" w:cs="楷体"/>
        </w:rPr>
      </w:pPr>
      <w:r>
        <w:rPr>
          <w:rFonts w:hint="eastAsia" w:ascii="楷体" w:hAnsi="楷体" w:eastAsia="楷体" w:cs="楷体"/>
        </w:rPr>
        <w:t>4.实践性教学环节</w:t>
      </w:r>
    </w:p>
    <w:p>
      <w:pPr>
        <w:ind w:firstLine="480" w:firstLineChars="200"/>
      </w:pPr>
      <w:r>
        <w:rPr>
          <w:rFonts w:hint="eastAsia"/>
        </w:rPr>
        <w:t>本专业实践性教学环节包括：实验、实训、实习、毕业设计（论文）和社会实践等，按照《职业学校学生实习管理规定》和《高等职业学校电子商务专业顶岗实习标准》，采用“三进三出”模式，开展深度校企合作。</w:t>
      </w:r>
    </w:p>
    <w:p>
      <w:pPr>
        <w:numPr>
          <w:ilvl w:val="0"/>
          <w:numId w:val="7"/>
        </w:numPr>
        <w:ind w:firstLine="480" w:firstLineChars="200"/>
      </w:pPr>
      <w:r>
        <w:rPr>
          <w:rFonts w:hint="eastAsia"/>
        </w:rPr>
        <w:t>在大一第一学期的《电子商务概论》课程中开展学生走出校园到企业参观调研。于学期末进行2周的沙盘模拟实践活动，强化理解电商基本概念，掌握业务操作流程。利用“第二课堂”，在学期末组织集训，鼓励学生参加院级技能竞赛，实现以赛促学，以赛促教。</w:t>
      </w:r>
    </w:p>
    <w:p>
      <w:pPr>
        <w:numPr>
          <w:ilvl w:val="0"/>
          <w:numId w:val="7"/>
        </w:numPr>
        <w:ind w:firstLine="480" w:firstLineChars="200"/>
      </w:pPr>
      <w:r>
        <w:rPr>
          <w:rFonts w:hint="eastAsia"/>
        </w:rPr>
        <w:t>第二、三学期的《客户关系管理》、《网络客户服务实务》课程采用校企合作产教融合模式，进行网络客户服综合实训，实现企业产品、企业文化和企业导师进校园。组织学生实践真实的客户订单跟踪、业务纠纷、赔付、回访等业务内容。</w:t>
      </w:r>
    </w:p>
    <w:p>
      <w:pPr>
        <w:numPr>
          <w:ilvl w:val="0"/>
          <w:numId w:val="7"/>
        </w:numPr>
        <w:ind w:firstLine="480" w:firstLineChars="200"/>
      </w:pPr>
      <w:r>
        <w:rPr>
          <w:rFonts w:hint="eastAsia"/>
        </w:rPr>
        <w:t>在实践期间， 老师全程跟岗实践，进行业务培训锻炼，提高教师的理论水平和实操能力，发挥教师教科研成果的指导作用，为解决企业业务难题提供指导和建议。</w:t>
      </w:r>
    </w:p>
    <w:p>
      <w:pPr>
        <w:numPr>
          <w:ilvl w:val="0"/>
          <w:numId w:val="7"/>
        </w:numPr>
        <w:ind w:firstLine="480" w:firstLineChars="200"/>
      </w:pPr>
      <w:r>
        <w:rPr>
          <w:rFonts w:hint="eastAsia"/>
        </w:rPr>
        <w:t>新型学徒制培养教学</w:t>
      </w:r>
    </w:p>
    <w:p>
      <w:pPr>
        <w:ind w:firstLine="480" w:firstLineChars="200"/>
      </w:pPr>
      <w:r>
        <w:rPr>
          <w:rFonts w:hint="eastAsia"/>
        </w:rPr>
        <w:t>开展企业新型学徒制培养模式，采用互惠自愿的原则分批次培养成立学徒制班，由企业导师前来任教，校企双方共同管理。重点围绕四大能力点提升，即基础业务能力、基础管理能力、企业数据分析整合能力，社交沟通技巧，采取“实践+课程培训+户外拓展+项目管理”相结合的教学模式。学期末接受校企双方考核，让学生从中提升自我能力，更能适应未来工作，为学生带来更好的职业发展，同时为合作单位储备人才。</w:t>
      </w:r>
    </w:p>
    <w:p>
      <w:pPr>
        <w:numPr>
          <w:ilvl w:val="0"/>
          <w:numId w:val="7"/>
        </w:numPr>
        <w:ind w:firstLine="480" w:firstLineChars="200"/>
      </w:pPr>
      <w:r>
        <w:rPr>
          <w:rFonts w:hint="eastAsia"/>
        </w:rPr>
        <w:t>在第四学期的《新媒体运营》课程中采用校企“双元”育人模式，联和知名直播</w:t>
      </w:r>
      <w:r>
        <w:rPr>
          <w:rFonts w:hint="eastAsia"/>
          <w:lang w:val="en-US" w:eastAsia="zh-CN"/>
        </w:rPr>
        <w:t>电商</w:t>
      </w:r>
      <w:r>
        <w:rPr>
          <w:rFonts w:hint="eastAsia"/>
        </w:rPr>
        <w:t>公司实施训育结合、理实相融教学模式。建设校内实训室和校外实训基地，结合企业真实任务，开展新媒体运营的学习和操作。在教材、教法和教师方面进行教学改革，实现理实相融。第五学期依托《电子商务创新创业孵化》课程，学生可以继续开展深层次的直播岗位实践，创新直播项目和直播方式。成立直播创新创业小组，以小组为单位进行直播实操，进行直播运营策划和团队管理，并鼓励学生在顶岗实习阶段进行持续性的岗位实操，逐步实现校企深度合作。</w:t>
      </w:r>
    </w:p>
    <w:p>
      <w:pPr>
        <w:numPr>
          <w:ilvl w:val="0"/>
          <w:numId w:val="7"/>
        </w:numPr>
        <w:ind w:firstLine="480" w:firstLineChars="200"/>
      </w:pPr>
      <w:r>
        <w:rPr>
          <w:rFonts w:hint="eastAsia"/>
        </w:rPr>
        <w:t>贯彻落实“1+X”标准，在“一人多证”的环境下，在《网店运营推广》、《电子商务数据分析》等课程落实课证融通、书证融通，重构课程内容，更新教学方法和考核评价方法，利用“第二课堂”开展模块化教学和实操集训。</w:t>
      </w:r>
    </w:p>
    <w:p>
      <w:pPr>
        <w:numPr>
          <w:ilvl w:val="0"/>
          <w:numId w:val="7"/>
        </w:numPr>
        <w:ind w:firstLine="480" w:firstLineChars="200"/>
      </w:pPr>
      <w:r>
        <w:rPr>
          <w:rFonts w:hint="eastAsia"/>
        </w:rPr>
        <w:t>依托跨境电商平台模拟操作软件开展跨境电商业务实操，融入“1+X”标准和技能竞赛标准，组织技能竞赛活动，实现书证融通、课赛融通。</w:t>
      </w:r>
    </w:p>
    <w:p>
      <w:pPr>
        <w:ind w:firstLine="480" w:firstLineChars="200"/>
        <w:rPr>
          <w:rFonts w:ascii="楷体" w:hAnsi="楷体" w:eastAsia="楷体" w:cs="楷体"/>
        </w:rPr>
      </w:pPr>
      <w:r>
        <w:rPr>
          <w:rFonts w:hint="eastAsia" w:ascii="楷体" w:hAnsi="楷体" w:eastAsia="楷体" w:cs="楷体"/>
        </w:rPr>
        <w:t>5.相关要求</w:t>
      </w:r>
    </w:p>
    <w:p>
      <w:pPr>
        <w:ind w:firstLine="480" w:firstLineChars="200"/>
      </w:pPr>
      <w:r>
        <w:rPr>
          <w:rFonts w:hint="eastAsia"/>
        </w:rPr>
        <w:t>（1）网络客户服务实训属于正常的教学环节，有课时和学分核算，原则上要求参训班级的所有学生全部参加。学徒制班级根据校企合作的模式确定参与人数和要求。</w:t>
      </w:r>
    </w:p>
    <w:p>
      <w:pPr>
        <w:ind w:firstLine="480" w:firstLineChars="200"/>
      </w:pPr>
      <w:r>
        <w:rPr>
          <w:rFonts w:hint="eastAsia"/>
        </w:rPr>
        <w:t>（2）顶岗实习和毕业设计（论文）设计要求学生开展与本专业相关的实习活动，进行本专业发展现状及问题进行研究分析，并给出研究结论，帮助企业行业解决相应的痛点问题。实习实践的时间、其他要求等按照学院和系部的统一要求进行。</w:t>
      </w:r>
    </w:p>
    <w:p>
      <w:pPr>
        <w:ind w:firstLine="480" w:firstLineChars="200"/>
      </w:pPr>
      <w:r>
        <w:rPr>
          <w:rFonts w:hint="eastAsia"/>
        </w:rPr>
        <w:t>（3）按照学院、系部和教研室的统一要求开展企业调研和社会实践活动。</w:t>
      </w:r>
    </w:p>
    <w:p>
      <w:pPr>
        <w:pStyle w:val="3"/>
        <w:numPr>
          <w:ilvl w:val="0"/>
          <w:numId w:val="8"/>
        </w:numPr>
      </w:pPr>
      <w:r>
        <w:rPr>
          <w:rFonts w:hint="eastAsia"/>
        </w:rPr>
        <w:t>学时安排</w:t>
      </w:r>
    </w:p>
    <w:p>
      <w:pPr>
        <w:ind w:firstLine="480" w:firstLineChars="200"/>
      </w:pPr>
      <w:r>
        <w:rPr>
          <w:rFonts w:hint="eastAsia"/>
        </w:rPr>
        <w:t>本专业总学时为28</w:t>
      </w:r>
      <w:r>
        <w:rPr>
          <w:rFonts w:hint="eastAsia"/>
          <w:lang w:val="en-US" w:eastAsia="zh-CN"/>
        </w:rPr>
        <w:t>36</w:t>
      </w:r>
      <w:r>
        <w:rPr>
          <w:rFonts w:hint="eastAsia"/>
        </w:rPr>
        <w:t>学时，每18学时计1学分。公共基础课程（综合素质）学时占总学时的5%。实践性教学学时占总学时的60%，其中，顶岗实习累计时间一般为6个月，根据实际集中或分阶段安排实习时间。</w:t>
      </w:r>
    </w:p>
    <w:p>
      <w:pPr>
        <w:pStyle w:val="2"/>
      </w:pPr>
      <w:r>
        <w:rPr>
          <w:rFonts w:hint="eastAsia"/>
        </w:rPr>
        <w:t>八、教学基本条件</w:t>
      </w:r>
    </w:p>
    <w:p>
      <w:pPr>
        <w:pStyle w:val="3"/>
      </w:pPr>
      <w:r>
        <w:rPr>
          <w:rFonts w:hint="eastAsia"/>
        </w:rPr>
        <w:t>（一）师资队伍</w:t>
      </w:r>
    </w:p>
    <w:p>
      <w:pPr>
        <w:ind w:firstLine="480" w:firstLineChars="200"/>
        <w:rPr>
          <w:rFonts w:ascii="楷体" w:hAnsi="楷体" w:eastAsia="楷体" w:cs="楷体"/>
        </w:rPr>
      </w:pPr>
      <w:r>
        <w:rPr>
          <w:rFonts w:hint="eastAsia" w:ascii="楷体" w:hAnsi="楷体" w:eastAsia="楷体" w:cs="楷体"/>
        </w:rPr>
        <w:t>1.队伍结构（参照教育部职成司发布的本专业的“高等职业学校专业教学标准”结合系部实际撰写）</w:t>
      </w:r>
    </w:p>
    <w:p>
      <w:pPr>
        <w:ind w:firstLine="480" w:firstLineChars="200"/>
      </w:pPr>
      <w:r>
        <w:rPr>
          <w:rFonts w:hint="eastAsia"/>
        </w:rPr>
        <w:t xml:space="preserve">（1）学生数与专任教师数比例不高于 </w:t>
      </w:r>
      <w:r>
        <w:t>25</w:t>
      </w:r>
      <w:r>
        <w:rPr>
          <w:rFonts w:hint="eastAsia"/>
        </w:rPr>
        <w:t>：</w:t>
      </w:r>
      <w:r>
        <w:t>1</w:t>
      </w:r>
      <w:r>
        <w:rPr>
          <w:rFonts w:hint="eastAsia"/>
        </w:rPr>
        <w:t xml:space="preserve">，双师素质教师占专业教师比例不低于 </w:t>
      </w:r>
      <w:r>
        <w:t>60%</w:t>
      </w:r>
      <w:r>
        <w:rPr>
          <w:rFonts w:hint="eastAsia"/>
        </w:rPr>
        <w:t>。主要包括专任教师、兼职教师和企业导师，其中专职教师年龄30岁以下1人，30-40岁6人，40岁以上3人。其中副教授</w:t>
      </w:r>
      <w:r>
        <w:rPr>
          <w:rFonts w:hint="eastAsia"/>
          <w:lang w:val="en-US" w:eastAsia="zh-CN"/>
        </w:rPr>
        <w:t>3</w:t>
      </w:r>
      <w:r>
        <w:rPr>
          <w:rFonts w:hint="eastAsia"/>
        </w:rPr>
        <w:t>人，讲师7人，助教1人，在职称、年龄等方面形成合理的梯队结构。企业导师经理2人，运营管理4人，业务骨干4人，在企业指导方面形成有力保障。</w:t>
      </w:r>
    </w:p>
    <w:p>
      <w:pPr>
        <w:ind w:firstLine="480" w:firstLineChars="200"/>
        <w:rPr>
          <w:rFonts w:ascii="楷体" w:hAnsi="楷体" w:eastAsia="楷体" w:cs="楷体"/>
        </w:rPr>
      </w:pPr>
      <w:r>
        <w:rPr>
          <w:rFonts w:hint="eastAsia" w:ascii="楷体" w:hAnsi="楷体" w:eastAsia="楷体" w:cs="楷体"/>
        </w:rPr>
        <w:t>2.专任教师（参照教育部职成司发布的本专业的“高等职业学校专业教学标准”结合系部实际撰写）</w:t>
      </w:r>
    </w:p>
    <w:p>
      <w:pPr>
        <w:ind w:firstLine="480" w:firstLineChars="200"/>
      </w:pPr>
      <w:r>
        <w:rPr>
          <w:rFonts w:hint="eastAsia"/>
        </w:rPr>
        <w:t xml:space="preserve">（1）要求拥护中国共产党的领导和社会主义核心价值观，具有良好的师德师风，遵纪守法，爱岗敬业，为人师表、立德树人的教书情怀。 </w:t>
      </w:r>
    </w:p>
    <w:p>
      <w:pPr>
        <w:ind w:firstLine="480" w:firstLineChars="200"/>
      </w:pPr>
      <w:r>
        <w:rPr>
          <w:rFonts w:hint="eastAsia"/>
        </w:rPr>
        <w:t xml:space="preserve">（2）具有电子商务专业、计算机信息技术和科学技术相关专业和经济学、管理科学与工程专业本科及以上学历；具有高校教师资格和本专业相关职业资格或技能等级证书；具有扎实的本专业相关理论功底和实践能力，具有较强信息化教学能力，能够开展课程教学改革和科学研究；积极参与企业实践。每五年累计不少于 </w:t>
      </w:r>
      <w:r>
        <w:t xml:space="preserve">6 </w:t>
      </w:r>
      <w:r>
        <w:rPr>
          <w:rFonts w:hint="eastAsia"/>
        </w:rPr>
        <w:t>个月的企业实践经历；</w:t>
      </w:r>
    </w:p>
    <w:p>
      <w:pPr>
        <w:ind w:firstLine="480" w:firstLineChars="200"/>
        <w:rPr>
          <w:rFonts w:ascii="楷体" w:hAnsi="楷体" w:eastAsia="楷体" w:cs="楷体"/>
        </w:rPr>
      </w:pPr>
      <w:r>
        <w:rPr>
          <w:rFonts w:hint="eastAsia" w:ascii="楷体" w:hAnsi="楷体" w:eastAsia="楷体" w:cs="楷体"/>
        </w:rPr>
        <w:t>3.专业带头人（参照教育部职成司发布的本专业的“高等职业学校专业教学标准”结合系部实际撰写）</w:t>
      </w:r>
    </w:p>
    <w:p>
      <w:pPr>
        <w:ind w:firstLine="480" w:firstLineChars="200"/>
      </w:pPr>
      <w:r>
        <w:rPr>
          <w:rFonts w:hint="eastAsia"/>
        </w:rPr>
        <w:t xml:space="preserve">专业带头人原则上应具有副高及以上职称，能够较好地把握国内外电子商务行业、专业发展，能广泛联系行业企业，了解行业企业对本专业人才的需求实际。 </w:t>
      </w:r>
    </w:p>
    <w:p>
      <w:pPr>
        <w:ind w:firstLine="480" w:firstLineChars="200"/>
        <w:rPr>
          <w:rFonts w:ascii="楷体" w:hAnsi="楷体" w:eastAsia="楷体" w:cs="楷体"/>
        </w:rPr>
      </w:pPr>
      <w:r>
        <w:rPr>
          <w:rFonts w:hint="eastAsia" w:ascii="楷体" w:hAnsi="楷体" w:eastAsia="楷体" w:cs="楷体"/>
        </w:rPr>
        <w:t>4.兼职教师（参照教育部职成司发布的本专业的“高等职业学校专业教学标准”结合系部实际撰写）</w:t>
      </w:r>
    </w:p>
    <w:p>
      <w:pPr>
        <w:ind w:firstLine="480" w:firstLineChars="200"/>
      </w:pPr>
      <w:r>
        <w:rPr>
          <w:rFonts w:hint="eastAsia"/>
        </w:rPr>
        <w:t xml:space="preserve">要求具备良好的思想政治素质、职业道德和工匠精神；具有丰富实践经验的企业高管、部门主管或技术骨干；具有较高的专业素养和技能水平；能承担课程和实训教学、实习指导等专业教学任务。 </w:t>
      </w:r>
    </w:p>
    <w:p>
      <w:pPr>
        <w:rPr>
          <w:rFonts w:ascii="黑体" w:hAnsi="黑体" w:eastAsia="黑体" w:cs="黑体"/>
        </w:rPr>
      </w:pPr>
      <w:r>
        <w:rPr>
          <w:rFonts w:hint="eastAsia" w:ascii="黑体" w:hAnsi="黑体" w:eastAsia="黑体" w:cs="黑体"/>
        </w:rPr>
        <w:t>（二）教学设施</w:t>
      </w:r>
    </w:p>
    <w:p>
      <w:pPr>
        <w:ind w:firstLine="480" w:firstLineChars="200"/>
        <w:rPr>
          <w:rFonts w:ascii="楷体" w:hAnsi="楷体" w:eastAsia="楷体" w:cs="楷体"/>
        </w:rPr>
      </w:pPr>
      <w:r>
        <w:rPr>
          <w:rFonts w:hint="eastAsia" w:ascii="楷体" w:hAnsi="楷体" w:eastAsia="楷体" w:cs="楷体"/>
        </w:rPr>
        <w:t>1.专业教室</w:t>
      </w:r>
    </w:p>
    <w:p>
      <w:pPr>
        <w:ind w:firstLine="480" w:firstLineChars="200"/>
      </w:pPr>
      <w:r>
        <w:rPr>
          <w:rFonts w:hint="eastAsia"/>
        </w:rPr>
        <w:t>本专业的学生教室配备黑（白）板、多媒体计算机、投影设备、音响设备、互联网接入和Wi-Fi环境，有完备的网络安全防护措施；安装应急照明装置，紧急疏散的标志明显，学生逃生通过畅通无阻。</w:t>
      </w:r>
    </w:p>
    <w:p>
      <w:pPr>
        <w:ind w:firstLine="480" w:firstLineChars="200"/>
        <w:rPr>
          <w:rFonts w:ascii="楷体" w:hAnsi="楷体" w:eastAsia="楷体" w:cs="楷体"/>
        </w:rPr>
      </w:pPr>
      <w:r>
        <w:rPr>
          <w:rFonts w:hint="eastAsia" w:ascii="楷体" w:hAnsi="楷体" w:eastAsia="楷体" w:cs="楷体"/>
        </w:rPr>
        <w:t>2.校内实训室（参照教育部职成司发布的本专业的“高等职业学校专业教学标准”结合系部实际撰写）</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1672"/>
        <w:gridCol w:w="6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tcPr>
          <w:p>
            <w:pPr>
              <w:adjustRightInd w:val="0"/>
              <w:snapToGrid w:val="0"/>
              <w:jc w:val="center"/>
              <w:rPr>
                <w:rFonts w:ascii="宋体" w:hAnsi="宋体"/>
                <w:szCs w:val="21"/>
              </w:rPr>
            </w:pPr>
            <w:r>
              <w:rPr>
                <w:rFonts w:hint="eastAsia" w:ascii="宋体" w:hAnsi="宋体"/>
                <w:szCs w:val="21"/>
              </w:rPr>
              <w:t>序号</w:t>
            </w:r>
          </w:p>
        </w:tc>
        <w:tc>
          <w:tcPr>
            <w:tcW w:w="1672" w:type="dxa"/>
          </w:tcPr>
          <w:p>
            <w:pPr>
              <w:adjustRightInd w:val="0"/>
              <w:snapToGrid w:val="0"/>
              <w:jc w:val="center"/>
              <w:rPr>
                <w:rFonts w:ascii="宋体" w:hAnsi="宋体"/>
                <w:szCs w:val="21"/>
              </w:rPr>
            </w:pPr>
            <w:r>
              <w:rPr>
                <w:rFonts w:hint="eastAsia" w:ascii="宋体" w:hAnsi="宋体"/>
                <w:szCs w:val="21"/>
              </w:rPr>
              <w:t>实训室类型</w:t>
            </w:r>
          </w:p>
        </w:tc>
        <w:tc>
          <w:tcPr>
            <w:tcW w:w="6408" w:type="dxa"/>
          </w:tcPr>
          <w:p>
            <w:pPr>
              <w:adjustRightInd w:val="0"/>
              <w:snapToGrid w:val="0"/>
              <w:ind w:firstLine="480" w:firstLineChars="200"/>
              <w:jc w:val="center"/>
              <w:rPr>
                <w:rFonts w:ascii="宋体" w:hAnsi="宋体"/>
                <w:szCs w:val="21"/>
              </w:rPr>
            </w:pPr>
            <w:r>
              <w:rPr>
                <w:rFonts w:hint="eastAsia" w:ascii="宋体" w:hAnsi="宋体"/>
                <w:szCs w:val="21"/>
              </w:rPr>
              <w:t>提供教学功能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20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w:t>
            </w:r>
          </w:p>
        </w:tc>
        <w:tc>
          <w:tcPr>
            <w:tcW w:w="1672" w:type="dxa"/>
          </w:tcPr>
          <w:p>
            <w:pPr>
              <w:adjustRightInd w:val="0"/>
              <w:snapToGrid w:val="0"/>
              <w:jc w:val="center"/>
              <w:rPr>
                <w:rFonts w:ascii="宋体" w:hAnsi="宋体"/>
                <w:szCs w:val="21"/>
              </w:rPr>
            </w:pPr>
            <w:r>
              <w:rPr>
                <w:rFonts w:hint="eastAsia" w:ascii="宋体" w:hAnsi="宋体"/>
                <w:szCs w:val="21"/>
              </w:rPr>
              <w:t>跨境电子商务实训室</w:t>
            </w:r>
          </w:p>
          <w:p>
            <w:pPr>
              <w:widowControl/>
              <w:jc w:val="center"/>
              <w:rPr>
                <w:rFonts w:ascii="宋体" w:hAnsi="宋体" w:eastAsia="宋体" w:cs="宋体"/>
                <w:color w:val="000000"/>
                <w:kern w:val="0"/>
                <w:sz w:val="28"/>
                <w:szCs w:val="28"/>
                <w:lang w:bidi="ar"/>
              </w:rPr>
            </w:pPr>
          </w:p>
        </w:tc>
        <w:tc>
          <w:tcPr>
            <w:tcW w:w="6408" w:type="dxa"/>
          </w:tcPr>
          <w:p>
            <w:pPr>
              <w:adjustRightInd w:val="0"/>
              <w:snapToGrid w:val="0"/>
              <w:jc w:val="left"/>
              <w:rPr>
                <w:rFonts w:ascii="宋体" w:hAnsi="宋体" w:eastAsia="宋体" w:cs="宋体"/>
                <w:color w:val="000000"/>
                <w:kern w:val="0"/>
                <w:sz w:val="28"/>
                <w:szCs w:val="28"/>
                <w:lang w:bidi="ar"/>
              </w:rPr>
            </w:pPr>
            <w:r>
              <w:rPr>
                <w:rFonts w:hint="eastAsia" w:ascii="宋体" w:hAnsi="宋体"/>
                <w:szCs w:val="21"/>
              </w:rPr>
              <w:t>配备教学多媒体终端、白板、计算机, 安装有跨境店铺开设与装修实训系统、跨境客户服务实训系统、跨境物流实训系统、跨境电商平台应用与实操系统、数据精准营销实战系统等实训教学软件；网络接入或 WiFi 环境； 可开展跨境店铺装修、跨境电商物流、报关、跨境客户服务、跨境电商平台运营、进出口业务结算、运营数据分析等实训项目。用于国际贸易实务、跨境电商英语、海外营销、网络营销、跨境电子商务平台运营等课程的教学与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tcPr>
          <w:p>
            <w:pPr>
              <w:adjustRightInd w:val="0"/>
              <w:snapToGrid w:val="0"/>
              <w:ind w:firstLine="560" w:firstLineChars="200"/>
              <w:jc w:val="left"/>
              <w:rPr>
                <w:rFonts w:ascii="宋体" w:hAnsi="宋体"/>
                <w:szCs w:val="21"/>
              </w:rPr>
            </w:pPr>
            <w:r>
              <w:rPr>
                <w:rFonts w:hint="eastAsia" w:ascii="宋体" w:hAnsi="宋体" w:eastAsia="宋体" w:cs="宋体"/>
                <w:color w:val="000000"/>
                <w:kern w:val="0"/>
                <w:sz w:val="28"/>
                <w:szCs w:val="28"/>
                <w:lang w:bidi="ar"/>
              </w:rPr>
              <w:t>2</w:t>
            </w:r>
          </w:p>
          <w:p>
            <w:pPr>
              <w:widowControl/>
              <w:jc w:val="left"/>
              <w:rPr>
                <w:rFonts w:ascii="宋体" w:hAnsi="宋体" w:eastAsia="宋体" w:cs="宋体"/>
                <w:color w:val="000000"/>
                <w:kern w:val="0"/>
                <w:sz w:val="28"/>
                <w:szCs w:val="28"/>
                <w:lang w:bidi="ar"/>
              </w:rPr>
            </w:pPr>
          </w:p>
        </w:tc>
        <w:tc>
          <w:tcPr>
            <w:tcW w:w="1672" w:type="dxa"/>
          </w:tcPr>
          <w:p>
            <w:pPr>
              <w:adjustRightInd w:val="0"/>
              <w:snapToGrid w:val="0"/>
              <w:jc w:val="left"/>
              <w:rPr>
                <w:rFonts w:ascii="宋体" w:hAnsi="宋体"/>
                <w:szCs w:val="21"/>
              </w:rPr>
            </w:pPr>
            <w:r>
              <w:rPr>
                <w:rFonts w:hint="eastAsia" w:ascii="宋体" w:hAnsi="宋体"/>
                <w:szCs w:val="21"/>
              </w:rPr>
              <w:t>电商综合实训室</w:t>
            </w:r>
          </w:p>
          <w:p>
            <w:pPr>
              <w:widowControl/>
              <w:jc w:val="left"/>
              <w:rPr>
                <w:rFonts w:ascii="宋体" w:hAnsi="宋体" w:eastAsia="宋体" w:cs="宋体"/>
                <w:color w:val="000000"/>
                <w:kern w:val="0"/>
                <w:sz w:val="28"/>
                <w:szCs w:val="28"/>
                <w:lang w:bidi="ar"/>
              </w:rPr>
            </w:pPr>
          </w:p>
        </w:tc>
        <w:tc>
          <w:tcPr>
            <w:tcW w:w="6408" w:type="dxa"/>
          </w:tcPr>
          <w:p>
            <w:pPr>
              <w:adjustRightInd w:val="0"/>
              <w:snapToGrid w:val="0"/>
              <w:jc w:val="left"/>
              <w:rPr>
                <w:rFonts w:ascii="宋体" w:hAnsi="宋体" w:cs="宋体"/>
                <w:color w:val="000000"/>
                <w:kern w:val="0"/>
                <w:sz w:val="28"/>
                <w:szCs w:val="28"/>
                <w:lang w:bidi="ar"/>
              </w:rPr>
            </w:pPr>
            <w:r>
              <w:rPr>
                <w:rFonts w:hint="eastAsia" w:ascii="宋体" w:hAnsi="宋体"/>
                <w:szCs w:val="21"/>
              </w:rPr>
              <w:t>商品拍摄与采编实训、网页设计制作、直播间实践实训等，配备数码相机、相机三脚架、引闪器、反光板、柔光灯、摄影灯架、静物台、拍摄幕布、背景板等摄影器材，满足大型商品、小型商品以及人物拍摄需要；拍摄区要求全遮光环境；配备商品展示柜、相关搭配道具等。用于图形图像处理、网店美工、网络信息编辑、电子商务网页设计与制作、新媒体运营等课程的教学与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1206" w:type="dxa"/>
          </w:tcPr>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3</w:t>
            </w:r>
          </w:p>
        </w:tc>
        <w:tc>
          <w:tcPr>
            <w:tcW w:w="1672" w:type="dxa"/>
          </w:tcPr>
          <w:p>
            <w:pPr>
              <w:adjustRightInd w:val="0"/>
              <w:snapToGrid w:val="0"/>
              <w:jc w:val="left"/>
              <w:rPr>
                <w:rFonts w:ascii="宋体" w:hAnsi="宋体"/>
                <w:szCs w:val="21"/>
              </w:rPr>
            </w:pPr>
            <w:r>
              <w:rPr>
                <w:rFonts w:hint="eastAsia" w:ascii="宋体" w:hAnsi="宋体"/>
                <w:szCs w:val="21"/>
              </w:rPr>
              <w:t>电子商务客户服务综合实训室</w:t>
            </w:r>
          </w:p>
        </w:tc>
        <w:tc>
          <w:tcPr>
            <w:tcW w:w="6408" w:type="dxa"/>
          </w:tcPr>
          <w:p>
            <w:pPr>
              <w:adjustRightInd w:val="0"/>
              <w:snapToGrid w:val="0"/>
              <w:jc w:val="left"/>
              <w:rPr>
                <w:rFonts w:ascii="宋体" w:hAnsi="宋体"/>
                <w:szCs w:val="21"/>
              </w:rPr>
            </w:pPr>
            <w:r>
              <w:rPr>
                <w:rFonts w:hint="eastAsia" w:ascii="宋体" w:hAnsi="宋体"/>
                <w:szCs w:val="21"/>
              </w:rPr>
              <w:t>开展真实企业活动、网络客户服务与管理、客户服务技巧、在线业务办理等教学与实训，用于客户关系管理、网络客户服务等课程的教学与实训。</w:t>
            </w:r>
          </w:p>
        </w:tc>
      </w:tr>
    </w:tbl>
    <w:p>
      <w:pPr>
        <w:jc w:val="center"/>
        <w:rPr>
          <w:rFonts w:ascii="楷体" w:hAnsi="楷体" w:eastAsia="楷体" w:cs="楷体"/>
        </w:rPr>
      </w:pPr>
      <w:r>
        <w:rPr>
          <w:rFonts w:hint="eastAsia" w:ascii="仿宋" w:hAnsi="仿宋" w:cs="仿宋"/>
          <w:sz w:val="21"/>
          <w:szCs w:val="21"/>
        </w:rPr>
        <w:t>表6 实训室类型</w:t>
      </w:r>
    </w:p>
    <w:p>
      <w:pPr>
        <w:ind w:firstLine="480" w:firstLineChars="200"/>
      </w:pPr>
      <w:r>
        <w:rPr>
          <w:rFonts w:hint="eastAsia"/>
        </w:rPr>
        <w:t>3.校外实训基地（参照教育部职成司发布的本专业的“高等职业学校专业教学标准”结合系部实际撰写）</w:t>
      </w:r>
    </w:p>
    <w:p>
      <w:pPr>
        <w:ind w:firstLine="480" w:firstLineChars="200"/>
      </w:pPr>
      <w:r>
        <w:rPr>
          <w:rFonts w:hint="eastAsia"/>
        </w:rPr>
        <w:t xml:space="preserve">本专业的人才培养需要与电子商务企业、网站开发公司、电子商务服务公司等多种类型的企业合作建立稳定、且需具有专业群可共享的实习实训基地，实训设施齐备、实训岗位明确，满足本专业综合实践、顶岗实习和部分课程项目化教学的需要。 </w:t>
      </w:r>
    </w:p>
    <w:p>
      <w:pPr>
        <w:snapToGrid w:val="0"/>
        <w:ind w:firstLine="480" w:firstLineChars="200"/>
        <w:jc w:val="left"/>
        <w:rPr>
          <w:rFonts w:ascii="宋体" w:hAnsi="宋体"/>
          <w:szCs w:val="21"/>
        </w:rPr>
      </w:pPr>
      <w:r>
        <w:rPr>
          <w:rFonts w:hint="eastAsia" w:ascii="宋体" w:hAnsi="宋体"/>
          <w:szCs w:val="21"/>
        </w:rPr>
        <w:t>4.学生实习基地（参照教育部职成司发布的本专业的“高等职业学校专业教学标准”结合系部实际撰写）</w:t>
      </w:r>
    </w:p>
    <w:p>
      <w:pPr>
        <w:snapToGrid w:val="0"/>
        <w:ind w:firstLine="480" w:firstLineChars="200"/>
        <w:jc w:val="left"/>
        <w:rPr>
          <w:rFonts w:ascii="宋体" w:hAnsi="宋体"/>
          <w:szCs w:val="21"/>
        </w:rPr>
      </w:pPr>
      <w:r>
        <w:rPr>
          <w:rFonts w:hint="eastAsia" w:ascii="宋体" w:hAnsi="宋体"/>
          <w:szCs w:val="21"/>
        </w:rPr>
        <w:t>能提供搜索引擎优化、物流管理、网络营销推广、网店（站）运营管理、直播运营管理、商务数据分析、美工设计、电商客服等相关实习岗位，能涵盖当前电商产业发展的主流技术，可接纳一定规模的学生实习（整建制）；能够配备相应数量的指导教师对学生实习进行指导和管理；有保证实习生日常工作、学习、生活的规章制度，实训管理及实施规章制度齐全。</w:t>
      </w:r>
    </w:p>
    <w:p>
      <w:pPr>
        <w:snapToGrid w:val="0"/>
        <w:ind w:firstLine="480" w:firstLineChars="200"/>
        <w:jc w:val="left"/>
        <w:rPr>
          <w:rFonts w:ascii="宋体" w:hAnsi="宋体"/>
          <w:szCs w:val="21"/>
        </w:rPr>
      </w:pPr>
      <w:r>
        <w:rPr>
          <w:rFonts w:hint="eastAsia" w:ascii="宋体" w:hAnsi="宋体"/>
          <w:szCs w:val="21"/>
        </w:rPr>
        <w:t>5.信息化教学方面（参照教育部职成司发布的本专业的“高等职业学校专业教学标准”结合系部实际撰写）</w:t>
      </w:r>
    </w:p>
    <w:p>
      <w:pPr>
        <w:snapToGrid w:val="0"/>
        <w:ind w:firstLine="480" w:firstLineChars="200"/>
        <w:jc w:val="left"/>
        <w:rPr>
          <w:rFonts w:ascii="黑体" w:hAnsi="黑体" w:eastAsia="黑体" w:cs="黑体"/>
        </w:rPr>
      </w:pPr>
      <w:r>
        <w:rPr>
          <w:rFonts w:hint="eastAsia" w:ascii="宋体" w:hAnsi="宋体"/>
          <w:szCs w:val="21"/>
        </w:rPr>
        <w:t>具有利用数字化教学资源库、文献资料、常见问题解答等的信息化条件。引导鼓励教师开发并利用信息化教学资源、教学平台，创新教学方法、提升教学效果。</w:t>
      </w:r>
    </w:p>
    <w:p>
      <w:pPr>
        <w:rPr>
          <w:rFonts w:ascii="黑体" w:hAnsi="黑体" w:eastAsia="黑体" w:cs="黑体"/>
        </w:rPr>
      </w:pPr>
      <w:r>
        <w:rPr>
          <w:rFonts w:hint="eastAsia" w:ascii="黑体" w:hAnsi="黑体" w:eastAsia="黑体" w:cs="黑体"/>
        </w:rPr>
        <w:t>（三）教学资源</w:t>
      </w:r>
    </w:p>
    <w:p>
      <w:pPr>
        <w:snapToGrid w:val="0"/>
        <w:ind w:firstLine="480" w:firstLineChars="200"/>
        <w:jc w:val="left"/>
        <w:rPr>
          <w:rFonts w:ascii="宋体" w:hAnsi="宋体"/>
          <w:szCs w:val="21"/>
        </w:rPr>
      </w:pPr>
      <w:r>
        <w:rPr>
          <w:rFonts w:hint="eastAsia" w:ascii="宋体" w:hAnsi="宋体"/>
          <w:szCs w:val="21"/>
        </w:rPr>
        <w:t>1.教材选用</w:t>
      </w:r>
    </w:p>
    <w:p>
      <w:pPr>
        <w:snapToGrid w:val="0"/>
        <w:ind w:firstLine="480" w:firstLineChars="200"/>
        <w:jc w:val="left"/>
        <w:rPr>
          <w:rFonts w:ascii="宋体" w:hAnsi="宋体"/>
          <w:szCs w:val="21"/>
        </w:rPr>
      </w:pPr>
      <w:r>
        <w:rPr>
          <w:rFonts w:hint="eastAsia" w:ascii="宋体" w:hAnsi="宋体"/>
          <w:szCs w:val="21"/>
        </w:rPr>
        <w:t>本专业严格按照教育部《职业院校教材管理办法》和学院《教材管理办法(修订)》等文件的规定，经规范程序择优选用教材。</w:t>
      </w:r>
    </w:p>
    <w:p>
      <w:pPr>
        <w:snapToGrid w:val="0"/>
        <w:ind w:firstLine="480" w:firstLineChars="200"/>
        <w:jc w:val="left"/>
        <w:rPr>
          <w:rFonts w:ascii="宋体" w:hAnsi="宋体"/>
          <w:szCs w:val="21"/>
        </w:rPr>
      </w:pPr>
      <w:r>
        <w:rPr>
          <w:rFonts w:hint="eastAsia" w:ascii="宋体" w:hAnsi="宋体"/>
          <w:szCs w:val="21"/>
        </w:rPr>
        <w:t>按照国家规定选用优质教材，禁止不合格的教材进入课堂。建立由专业教师、行业专家和教研人员等参与的教材选用机构，完善教材选用制度，经过规范程序择优选用教材。</w:t>
      </w:r>
    </w:p>
    <w:p>
      <w:pPr>
        <w:snapToGrid w:val="0"/>
        <w:ind w:firstLine="480" w:firstLineChars="200"/>
        <w:jc w:val="left"/>
        <w:rPr>
          <w:rFonts w:ascii="宋体" w:hAnsi="宋体"/>
          <w:szCs w:val="21"/>
        </w:rPr>
      </w:pPr>
      <w:r>
        <w:rPr>
          <w:rFonts w:hint="eastAsia" w:ascii="宋体" w:hAnsi="宋体"/>
          <w:szCs w:val="21"/>
        </w:rPr>
        <w:t>2.图书文献配备</w:t>
      </w:r>
    </w:p>
    <w:p>
      <w:pPr>
        <w:snapToGrid w:val="0"/>
        <w:ind w:firstLine="480" w:firstLineChars="200"/>
        <w:jc w:val="left"/>
        <w:rPr>
          <w:rFonts w:ascii="宋体" w:hAnsi="宋体"/>
          <w:szCs w:val="21"/>
        </w:rPr>
      </w:pPr>
      <w:r>
        <w:rPr>
          <w:rFonts w:hint="eastAsia" w:ascii="宋体" w:hAnsi="宋体"/>
          <w:szCs w:val="21"/>
        </w:rPr>
        <w:t>本专业的图书文献主要包括：教材、图书及数字化等教学资源本专业需选用近三年出版的高职高专国家级规划教材和行业企业优秀教材或校本教材；图书馆采购征订有专业图书、期刊杂志，购买了数字图书杂志，能满足人才培养、专业建设、教科研等工作的需求,方便师生查询、借阅。</w:t>
      </w:r>
    </w:p>
    <w:p>
      <w:pPr>
        <w:ind w:firstLine="480" w:firstLineChars="200"/>
        <w:rPr>
          <w:rFonts w:ascii="楷体" w:hAnsi="楷体" w:eastAsia="楷体" w:cs="楷体"/>
        </w:rPr>
      </w:pPr>
      <w:r>
        <w:rPr>
          <w:rFonts w:hint="eastAsia" w:ascii="楷体" w:hAnsi="楷体" w:eastAsia="楷体" w:cs="楷体"/>
        </w:rPr>
        <w:t>3.数字教学资源配备</w:t>
      </w:r>
    </w:p>
    <w:p>
      <w:pPr>
        <w:snapToGrid w:val="0"/>
        <w:ind w:firstLine="480" w:firstLineChars="200"/>
        <w:jc w:val="left"/>
        <w:rPr>
          <w:rFonts w:ascii="宋体" w:hAnsi="宋体"/>
          <w:szCs w:val="21"/>
        </w:rPr>
      </w:pPr>
      <w:r>
        <w:rPr>
          <w:rFonts w:hint="eastAsia" w:ascii="宋体" w:hAnsi="宋体"/>
          <w:szCs w:val="21"/>
        </w:rPr>
        <w:t>建设、配备与本专业有关的音视频素材、教学课件、数字化教学案例库、虚拟仿真软件、数字教材等专业教学资源库，包括国家职业教育移动商务专业教学资源库、国家级精品在线开放课程（商务数据分析与应用、移动商务推广）、校级在线开放课程等资源，种类丰富、形式多样、使用便捷、动态更新、满足教学。</w:t>
      </w:r>
    </w:p>
    <w:p>
      <w:pPr>
        <w:rPr>
          <w:rFonts w:ascii="黑体" w:hAnsi="黑体" w:eastAsia="黑体" w:cs="黑体"/>
        </w:rPr>
      </w:pPr>
      <w:r>
        <w:rPr>
          <w:rFonts w:hint="eastAsia" w:ascii="黑体" w:hAnsi="黑体" w:eastAsia="黑体" w:cs="黑体"/>
        </w:rPr>
        <w:t xml:space="preserve">（四）教学方法 </w:t>
      </w:r>
    </w:p>
    <w:p>
      <w:pPr>
        <w:adjustRightInd w:val="0"/>
        <w:snapToGrid w:val="0"/>
        <w:ind w:firstLine="480" w:firstLineChars="200"/>
        <w:jc w:val="left"/>
        <w:rPr>
          <w:rFonts w:ascii="宋体" w:hAnsi="宋体"/>
          <w:szCs w:val="21"/>
        </w:rPr>
      </w:pPr>
      <w:r>
        <w:rPr>
          <w:rFonts w:hint="eastAsia" w:ascii="宋体" w:hAnsi="宋体"/>
          <w:szCs w:val="21"/>
        </w:rPr>
        <w:t>1.充分利用信息技术手段和网络教学资源（国家精品在线开放课程、省级在线开放课程、校级在线开放课程）开展教学。</w:t>
      </w:r>
    </w:p>
    <w:p>
      <w:pPr>
        <w:adjustRightInd w:val="0"/>
        <w:snapToGrid w:val="0"/>
        <w:ind w:firstLine="480" w:firstLineChars="200"/>
        <w:jc w:val="left"/>
        <w:rPr>
          <w:rFonts w:ascii="宋体" w:hAnsi="宋体"/>
          <w:szCs w:val="21"/>
        </w:rPr>
      </w:pPr>
      <w:r>
        <w:rPr>
          <w:rFonts w:hint="eastAsia" w:ascii="宋体" w:hAnsi="宋体"/>
          <w:szCs w:val="21"/>
        </w:rPr>
        <w:t>2.突出学生的中心主体地位，采用行动导向的教学模式，激发学生的学习兴趣，实行项目教学、案例教学、模拟教学、任务驱动、角色扮演、情境教学、互动交流等多种形式的“做中学、学中做”的教学方法，应用多媒体课件、工作任务单、网络、视频、实物、现场操作等教学手段，以小组、团队为单位进行协作性学习，做到针对不同教学对象和教学内容灵活施教。教师要对教学成果进行评价和展示，以达到提高教学效果的目的。</w:t>
      </w:r>
    </w:p>
    <w:p>
      <w:pPr>
        <w:adjustRightInd w:val="0"/>
        <w:snapToGrid w:val="0"/>
        <w:ind w:firstLine="480" w:firstLineChars="200"/>
        <w:jc w:val="left"/>
        <w:rPr>
          <w:rFonts w:ascii="宋体" w:hAnsi="宋体"/>
          <w:szCs w:val="21"/>
        </w:rPr>
      </w:pPr>
      <w:r>
        <w:rPr>
          <w:rFonts w:hint="eastAsia" w:ascii="宋体" w:hAnsi="宋体"/>
          <w:szCs w:val="21"/>
        </w:rPr>
        <w:t>3.结合线上教学平台，实施线上线下混合式教学法。</w:t>
      </w:r>
    </w:p>
    <w:p>
      <w:pPr>
        <w:adjustRightInd w:val="0"/>
        <w:snapToGrid w:val="0"/>
        <w:ind w:firstLine="480" w:firstLineChars="200"/>
        <w:jc w:val="left"/>
        <w:rPr>
          <w:rFonts w:ascii="宋体" w:hAnsi="宋体"/>
          <w:szCs w:val="21"/>
        </w:rPr>
      </w:pPr>
      <w:r>
        <w:rPr>
          <w:rFonts w:hint="eastAsia" w:ascii="宋体" w:hAnsi="宋体"/>
          <w:szCs w:val="21"/>
        </w:rPr>
        <w:t>课前：教师按照标准准备课前学习资源并在平台发布；教师线上指导学生完成课前线上资源学习、讨论，在此基础上，学生完成课前线上作业，教师记录学生线上学习难点。</w:t>
      </w:r>
    </w:p>
    <w:p>
      <w:pPr>
        <w:adjustRightInd w:val="0"/>
        <w:snapToGrid w:val="0"/>
        <w:ind w:firstLine="480" w:firstLineChars="200"/>
        <w:jc w:val="left"/>
        <w:rPr>
          <w:rFonts w:ascii="宋体" w:hAnsi="宋体"/>
          <w:szCs w:val="21"/>
        </w:rPr>
      </w:pPr>
      <w:r>
        <w:rPr>
          <w:rFonts w:hint="eastAsia" w:ascii="宋体" w:hAnsi="宋体"/>
          <w:szCs w:val="21"/>
        </w:rPr>
        <w:t>课中：根据学生课前学习中的疑难点，教师有针对性地进行讲解，通过课中小组讨论、情景模拟、测试、小组PK、线上线下混合式教学等方式帮助学生进一步掌握教学内容。</w:t>
      </w:r>
    </w:p>
    <w:p>
      <w:pPr>
        <w:snapToGrid w:val="0"/>
        <w:ind w:firstLine="480" w:firstLineChars="200"/>
        <w:jc w:val="left"/>
        <w:rPr>
          <w:rFonts w:ascii="宋体" w:hAnsi="宋体"/>
          <w:szCs w:val="21"/>
        </w:rPr>
      </w:pPr>
      <w:r>
        <w:rPr>
          <w:rFonts w:hint="eastAsia" w:ascii="宋体" w:hAnsi="宋体"/>
          <w:szCs w:val="21"/>
        </w:rPr>
        <w:t>课后：教师发布课后学习任务，并线上回答学生疑问，与学生进行实时讨论与深度互动。</w:t>
      </w:r>
    </w:p>
    <w:p>
      <w:pPr>
        <w:pStyle w:val="2"/>
      </w:pPr>
      <w:r>
        <w:rPr>
          <w:rFonts w:hint="eastAsia"/>
        </w:rPr>
        <w:t>九、质量保障</w:t>
      </w:r>
    </w:p>
    <w:p>
      <w:pPr>
        <w:ind w:firstLine="480" w:firstLineChars="200"/>
      </w:pPr>
      <w:r>
        <w:rPr>
          <w:rFonts w:hint="eastAsia"/>
        </w:rPr>
        <w:t>（1）学院和系部已建立内部质量保证体系诊断与改进机制，有健全的专业教学质量监控管理制度，完善课堂教学、教学评价、实习实训、毕业设计及专业调研、人才培养方案更新、资源建设等方面质量标准建设，通过教学实施、过程监控、质量评价和持续改进，达成人才培养规格。</w:t>
      </w:r>
    </w:p>
    <w:p>
      <w:pPr>
        <w:ind w:firstLine="480" w:firstLineChars="200"/>
      </w:pPr>
      <w:r>
        <w:rPr>
          <w:rFonts w:hint="eastAsia"/>
        </w:rPr>
        <w:t>（2）学院和系部已建立完善的教学管理机制，加强日常教学组织和管理，定期开展课程建设水平和内部质量保证体系诊断与改进，建立健全巡课、听课、评教、评学等制度，建立与企业联动的实践教学环节督导制度，严明教学纪律，强化教学组织功能，定期开展公开课、示范课等教研活动。</w:t>
      </w:r>
    </w:p>
    <w:p>
      <w:pPr>
        <w:ind w:firstLine="480" w:firstLineChars="200"/>
      </w:pPr>
      <w:r>
        <w:rPr>
          <w:rFonts w:hint="eastAsia"/>
        </w:rPr>
        <w:t>（3）学院已建立毕业生跟踪反馈机制及社会评价机制，并针对生源情况、在校生学业水平、毕业生就业情况等进行分析，定期评价人才培养质量和培养目标的达成情况。</w:t>
      </w:r>
    </w:p>
    <w:p>
      <w:pPr>
        <w:ind w:firstLine="480" w:firstLineChars="200"/>
      </w:pPr>
      <w:r>
        <w:rPr>
          <w:rFonts w:hint="eastAsia"/>
        </w:rPr>
        <w:t>（4）专业教研组织能够充分利用评价分析结果有效改进专业教学，持续提高人才培养质量。</w:t>
      </w:r>
    </w:p>
    <w:p>
      <w:pPr>
        <w:ind w:firstLine="480" w:firstLineChars="200"/>
      </w:pPr>
      <w:r>
        <w:rPr>
          <w:rFonts w:hint="eastAsia"/>
        </w:rPr>
        <w:t>（5）健全校企“双元”育人质量保障与监控体系、评价工作运行机制，建立“行业协会、企业、学校、学生” 四方共同参与的质量保障与监控体系、评价机制，实现教学管理科学化、教学全过程的信息化，加强教学过程信息和教学质量管理。</w:t>
      </w:r>
    </w:p>
    <w:p>
      <w:pPr>
        <w:pStyle w:val="2"/>
        <w:rPr>
          <w:color w:val="FF0000"/>
        </w:rPr>
      </w:pPr>
      <w:r>
        <w:rPr>
          <w:rFonts w:hint="eastAsia"/>
        </w:rPr>
        <w:t>十、毕业要求</w:t>
      </w:r>
    </w:p>
    <w:p>
      <w:pPr>
        <w:ind w:firstLine="480" w:firstLineChars="200"/>
      </w:pPr>
      <w:r>
        <w:t>1.</w:t>
      </w:r>
      <w:r>
        <w:rPr>
          <w:rFonts w:hint="eastAsia"/>
        </w:rPr>
        <w:t>修完教学计划规定的各教学和实践活动等环节并取得相应学分，学分要求毕业总学分需达到</w:t>
      </w:r>
      <w:r>
        <w:rPr>
          <w:rFonts w:hint="eastAsia"/>
          <w:lang w:val="en-US" w:eastAsia="zh-CN"/>
        </w:rPr>
        <w:t>152</w:t>
      </w:r>
      <w:r>
        <w:rPr>
          <w:rFonts w:hint="eastAsia"/>
        </w:rPr>
        <w:t>，专业修业最低学分为</w:t>
      </w:r>
      <w:r>
        <w:rPr>
          <w:rFonts w:hint="eastAsia"/>
          <w:lang w:val="en-US" w:eastAsia="zh-CN"/>
        </w:rPr>
        <w:t>145</w:t>
      </w:r>
      <w:r>
        <w:rPr>
          <w:rFonts w:hint="eastAsia"/>
        </w:rPr>
        <w:t>学分，其中课程学分 11</w:t>
      </w:r>
      <w:r>
        <w:rPr>
          <w:rFonts w:hint="eastAsia"/>
          <w:lang w:val="en-US" w:eastAsia="zh-CN"/>
        </w:rPr>
        <w:t>0</w:t>
      </w:r>
      <w:r>
        <w:t xml:space="preserve"> </w:t>
      </w:r>
      <w:r>
        <w:rPr>
          <w:rFonts w:hint="eastAsia"/>
        </w:rPr>
        <w:t>分，非课程学分 35</w:t>
      </w:r>
      <w:r>
        <w:t xml:space="preserve"> </w:t>
      </w:r>
      <w:r>
        <w:rPr>
          <w:rFonts w:hint="eastAsia"/>
        </w:rPr>
        <w:t>分， 非课程学分最低要求35</w:t>
      </w:r>
      <w:r>
        <w:t xml:space="preserve"> </w:t>
      </w:r>
      <w:r>
        <w:rPr>
          <w:rFonts w:hint="eastAsia"/>
        </w:rPr>
        <w:t xml:space="preserve">个学分。主要包括社会实践活动、军事理论、毕业论文设计及顶实习等； </w:t>
      </w:r>
    </w:p>
    <w:p>
      <w:pPr>
        <w:ind w:firstLine="480" w:firstLineChars="200"/>
      </w:pPr>
      <w:r>
        <w:rPr>
          <w:rFonts w:hint="eastAsia"/>
        </w:rPr>
        <w:t>2.获得计算机水平考试一级及以上证书或普通话二级乙等及以上证书。 </w:t>
      </w:r>
    </w:p>
    <w:p>
      <w:pPr>
        <w:ind w:firstLine="480" w:firstLineChars="200"/>
      </w:pPr>
      <w:r>
        <w:rPr>
          <w:rFonts w:hint="eastAsia"/>
        </w:rPr>
        <w:t>3.鼓励获得本专业“1+</w:t>
      </w:r>
      <w:r>
        <w:t>X</w:t>
      </w:r>
      <w:r>
        <w:rPr>
          <w:rFonts w:hint="eastAsia"/>
        </w:rPr>
        <w:t>”证书一个及以上。获取证书的学生可置换证书相关的课程学分（一本</w:t>
      </w:r>
      <w:r>
        <w:t>X</w:t>
      </w:r>
      <w:r>
        <w:rPr>
          <w:rFonts w:hint="eastAsia"/>
        </w:rPr>
        <w:t>证书可置换一门相关课程学分，根据证书级别给与成绩认定：高级证书：95分，中级证书：8</w:t>
      </w:r>
      <w:r>
        <w:t>5</w:t>
      </w:r>
      <w:r>
        <w:rPr>
          <w:rFonts w:hint="eastAsia"/>
        </w:rPr>
        <w:t>分）</w:t>
      </w:r>
    </w:p>
    <w:p>
      <w:pPr>
        <w:adjustRightInd w:val="0"/>
        <w:snapToGrid w:val="0"/>
        <w:ind w:firstLine="480" w:firstLineChars="200"/>
        <w:jc w:val="left"/>
        <w:rPr>
          <w:rFonts w:ascii="宋体" w:hAnsi="宋体"/>
          <w:szCs w:val="21"/>
        </w:rPr>
      </w:pPr>
      <w:r>
        <w:rPr>
          <w:rFonts w:hint="eastAsia" w:ascii="宋体" w:hAnsi="宋体"/>
          <w:szCs w:val="21"/>
        </w:rPr>
        <w:t>4.鼓励学生参加全国职业院校技能大赛，获奖后可置换与竞赛内容相关课程的学分（1个奖项置换1门课程）并给与成绩认定。</w:t>
      </w:r>
    </w:p>
    <w:p>
      <w:pPr>
        <w:adjustRightInd w:val="0"/>
        <w:snapToGrid w:val="0"/>
        <w:ind w:firstLine="562" w:firstLineChars="200"/>
        <w:jc w:val="center"/>
        <w:rPr>
          <w:rFonts w:ascii="宋体" w:hAnsi="宋体" w:eastAsia="宋体" w:cs="宋体"/>
          <w:b/>
          <w:bCs/>
          <w:sz w:val="28"/>
          <w:szCs w:val="28"/>
        </w:rPr>
      </w:pPr>
    </w:p>
    <w:p>
      <w:pPr>
        <w:numPr>
          <w:ilvl w:val="0"/>
          <w:numId w:val="9"/>
        </w:numPr>
        <w:adjustRightInd w:val="0"/>
        <w:snapToGrid w:val="0"/>
        <w:rPr>
          <w:rFonts w:eastAsia="宋体"/>
          <w:b/>
          <w:kern w:val="44"/>
          <w:sz w:val="28"/>
        </w:rPr>
      </w:pPr>
      <w:r>
        <w:rPr>
          <w:rFonts w:hint="eastAsia" w:eastAsia="宋体"/>
          <w:b/>
          <w:kern w:val="44"/>
          <w:sz w:val="28"/>
        </w:rPr>
        <w:t>教学进程表</w:t>
      </w: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pPr>
    </w:p>
    <w:p>
      <w:pPr>
        <w:adjustRightInd w:val="0"/>
        <w:snapToGrid w:val="0"/>
        <w:rPr>
          <w:rFonts w:eastAsia="宋体"/>
          <w:b/>
          <w:kern w:val="44"/>
          <w:sz w:val="28"/>
        </w:rPr>
        <w:sectPr>
          <w:footerReference r:id="rId5" w:type="default"/>
          <w:pgSz w:w="11906" w:h="16838"/>
          <w:pgMar w:top="1440" w:right="1418" w:bottom="1440" w:left="1418" w:header="851" w:footer="992" w:gutter="0"/>
          <w:cols w:space="425" w:num="1"/>
          <w:docGrid w:type="lines" w:linePitch="312" w:charSpace="0"/>
        </w:sectPr>
      </w:pPr>
    </w:p>
    <w:p>
      <w:pPr>
        <w:jc w:val="center"/>
      </w:pPr>
      <w:r>
        <w:object>
          <v:shape id="_x0000_i1025" o:spt="75" type="#_x0000_t75" style="height:513.1pt;width:478.4pt;" o:ole="t" filled="f" o:preferrelative="t" stroked="f" coordsize="21600,21600">
            <v:path/>
            <v:fill on="f" focussize="0,0"/>
            <v:stroke on="f"/>
            <v:imagedata r:id="rId9" o:title=""/>
            <o:lock v:ext="edit" aspectratio="f"/>
            <w10:wrap type="none"/>
            <w10:anchorlock/>
          </v:shape>
          <o:OLEObject Type="Embed" ProgID="Excel.Sheet.8" ShapeID="_x0000_i1025" DrawAspect="Content" ObjectID="_1468075725" r:id="rId8">
            <o:LockedField>false</o:LockedField>
          </o:OLEObject>
        </w:object>
      </w:r>
    </w:p>
    <w:sectPr>
      <w:pgSz w:w="16838" w:h="11906" w:orient="landscape"/>
      <w:pgMar w:top="1418" w:right="1440" w:bottom="1418"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22</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D17F16"/>
    <w:multiLevelType w:val="singleLevel"/>
    <w:tmpl w:val="86D17F16"/>
    <w:lvl w:ilvl="0" w:tentative="0">
      <w:start w:val="1"/>
      <w:numFmt w:val="decimal"/>
      <w:suff w:val="nothing"/>
      <w:lvlText w:val="（%1）"/>
      <w:lvlJc w:val="left"/>
    </w:lvl>
  </w:abstractNum>
  <w:abstractNum w:abstractNumId="1">
    <w:nsid w:val="ED322761"/>
    <w:multiLevelType w:val="singleLevel"/>
    <w:tmpl w:val="ED322761"/>
    <w:lvl w:ilvl="0" w:tentative="0">
      <w:start w:val="2"/>
      <w:numFmt w:val="chineseCounting"/>
      <w:suff w:val="nothing"/>
      <w:lvlText w:val="（%1）"/>
      <w:lvlJc w:val="left"/>
      <w:rPr>
        <w:rFonts w:hint="eastAsia"/>
      </w:rPr>
    </w:lvl>
  </w:abstractNum>
  <w:abstractNum w:abstractNumId="2">
    <w:nsid w:val="F229B617"/>
    <w:multiLevelType w:val="singleLevel"/>
    <w:tmpl w:val="F229B617"/>
    <w:lvl w:ilvl="0" w:tentative="0">
      <w:start w:val="6"/>
      <w:numFmt w:val="decimal"/>
      <w:suff w:val="nothing"/>
      <w:lvlText w:val="（%1）"/>
      <w:lvlJc w:val="left"/>
    </w:lvl>
  </w:abstractNum>
  <w:abstractNum w:abstractNumId="3">
    <w:nsid w:val="00D91CBC"/>
    <w:multiLevelType w:val="singleLevel"/>
    <w:tmpl w:val="00D91CBC"/>
    <w:lvl w:ilvl="0" w:tentative="0">
      <w:start w:val="11"/>
      <w:numFmt w:val="chineseCounting"/>
      <w:suff w:val="nothing"/>
      <w:lvlText w:val="%1、"/>
      <w:lvlJc w:val="left"/>
      <w:rPr>
        <w:rFonts w:hint="eastAsia"/>
      </w:rPr>
    </w:lvl>
  </w:abstractNum>
  <w:abstractNum w:abstractNumId="4">
    <w:nsid w:val="159F332C"/>
    <w:multiLevelType w:val="singleLevel"/>
    <w:tmpl w:val="159F332C"/>
    <w:lvl w:ilvl="0" w:tentative="0">
      <w:start w:val="1"/>
      <w:numFmt w:val="decimal"/>
      <w:suff w:val="nothing"/>
      <w:lvlText w:val="（%1）"/>
      <w:lvlJc w:val="left"/>
    </w:lvl>
  </w:abstractNum>
  <w:abstractNum w:abstractNumId="5">
    <w:nsid w:val="359421F1"/>
    <w:multiLevelType w:val="singleLevel"/>
    <w:tmpl w:val="359421F1"/>
    <w:lvl w:ilvl="0" w:tentative="0">
      <w:start w:val="1"/>
      <w:numFmt w:val="chineseCounting"/>
      <w:suff w:val="nothing"/>
      <w:lvlText w:val="（%1）"/>
      <w:lvlJc w:val="left"/>
      <w:rPr>
        <w:rFonts w:hint="eastAsia"/>
      </w:rPr>
    </w:lvl>
  </w:abstractNum>
  <w:abstractNum w:abstractNumId="6">
    <w:nsid w:val="3DF50C45"/>
    <w:multiLevelType w:val="singleLevel"/>
    <w:tmpl w:val="3DF50C45"/>
    <w:lvl w:ilvl="0" w:tentative="0">
      <w:start w:val="1"/>
      <w:numFmt w:val="decimal"/>
      <w:suff w:val="nothing"/>
      <w:lvlText w:val="（%1）"/>
      <w:lvlJc w:val="left"/>
    </w:lvl>
  </w:abstractNum>
  <w:abstractNum w:abstractNumId="7">
    <w:nsid w:val="5AEFFD5E"/>
    <w:multiLevelType w:val="singleLevel"/>
    <w:tmpl w:val="5AEFFD5E"/>
    <w:lvl w:ilvl="0" w:tentative="0">
      <w:start w:val="2"/>
      <w:numFmt w:val="chineseCounting"/>
      <w:suff w:val="nothing"/>
      <w:lvlText w:val="%1、"/>
      <w:lvlJc w:val="left"/>
    </w:lvl>
  </w:abstractNum>
  <w:abstractNum w:abstractNumId="8">
    <w:nsid w:val="5AEFFE88"/>
    <w:multiLevelType w:val="singleLevel"/>
    <w:tmpl w:val="5AEFFE88"/>
    <w:lvl w:ilvl="0" w:tentative="0">
      <w:start w:val="5"/>
      <w:numFmt w:val="chineseCounting"/>
      <w:suff w:val="nothing"/>
      <w:lvlText w:val="%1、"/>
      <w:lvlJc w:val="left"/>
    </w:lvl>
  </w:abstractNum>
  <w:num w:numId="1">
    <w:abstractNumId w:val="7"/>
  </w:num>
  <w:num w:numId="2">
    <w:abstractNumId w:val="8"/>
  </w:num>
  <w:num w:numId="3">
    <w:abstractNumId w:val="5"/>
  </w:num>
  <w:num w:numId="4">
    <w:abstractNumId w:val="2"/>
  </w:num>
  <w:num w:numId="5">
    <w:abstractNumId w:val="0"/>
  </w:num>
  <w:num w:numId="6">
    <w:abstractNumId w:val="6"/>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D3B7C"/>
    <w:rsid w:val="000F46CE"/>
    <w:rsid w:val="0012036B"/>
    <w:rsid w:val="00161E2F"/>
    <w:rsid w:val="00163152"/>
    <w:rsid w:val="0018339B"/>
    <w:rsid w:val="00194069"/>
    <w:rsid w:val="001954DD"/>
    <w:rsid w:val="001E5231"/>
    <w:rsid w:val="002034D3"/>
    <w:rsid w:val="00236A77"/>
    <w:rsid w:val="0023727F"/>
    <w:rsid w:val="0024138D"/>
    <w:rsid w:val="00263281"/>
    <w:rsid w:val="002643E3"/>
    <w:rsid w:val="00313AF3"/>
    <w:rsid w:val="00344214"/>
    <w:rsid w:val="003659FB"/>
    <w:rsid w:val="003914DF"/>
    <w:rsid w:val="003A7BF5"/>
    <w:rsid w:val="003F14F7"/>
    <w:rsid w:val="00421356"/>
    <w:rsid w:val="00422873"/>
    <w:rsid w:val="00423EC3"/>
    <w:rsid w:val="004378F6"/>
    <w:rsid w:val="004934B6"/>
    <w:rsid w:val="004A2DD4"/>
    <w:rsid w:val="00524C76"/>
    <w:rsid w:val="005820C5"/>
    <w:rsid w:val="0058381D"/>
    <w:rsid w:val="00587701"/>
    <w:rsid w:val="005A6723"/>
    <w:rsid w:val="005B4ED2"/>
    <w:rsid w:val="005C6159"/>
    <w:rsid w:val="005D19AA"/>
    <w:rsid w:val="005D757A"/>
    <w:rsid w:val="005E33EF"/>
    <w:rsid w:val="00635CDC"/>
    <w:rsid w:val="00670A01"/>
    <w:rsid w:val="006E4F55"/>
    <w:rsid w:val="006E705E"/>
    <w:rsid w:val="006E79E0"/>
    <w:rsid w:val="0072345F"/>
    <w:rsid w:val="00726B8B"/>
    <w:rsid w:val="007D6D4F"/>
    <w:rsid w:val="0086231A"/>
    <w:rsid w:val="00884A30"/>
    <w:rsid w:val="008B1171"/>
    <w:rsid w:val="008B6DD5"/>
    <w:rsid w:val="008C25EB"/>
    <w:rsid w:val="008E4C8F"/>
    <w:rsid w:val="009249F3"/>
    <w:rsid w:val="00943057"/>
    <w:rsid w:val="00943A3E"/>
    <w:rsid w:val="00947857"/>
    <w:rsid w:val="0095005A"/>
    <w:rsid w:val="0095013B"/>
    <w:rsid w:val="009960D4"/>
    <w:rsid w:val="009A171E"/>
    <w:rsid w:val="009C0916"/>
    <w:rsid w:val="00A83FD1"/>
    <w:rsid w:val="00A84730"/>
    <w:rsid w:val="00AA6F7E"/>
    <w:rsid w:val="00AC57CD"/>
    <w:rsid w:val="00B01BC4"/>
    <w:rsid w:val="00B0411C"/>
    <w:rsid w:val="00B0799E"/>
    <w:rsid w:val="00BC60E2"/>
    <w:rsid w:val="00C063DD"/>
    <w:rsid w:val="00C4458A"/>
    <w:rsid w:val="00C4588A"/>
    <w:rsid w:val="00C6002B"/>
    <w:rsid w:val="00C67B73"/>
    <w:rsid w:val="00C758BF"/>
    <w:rsid w:val="00C865E0"/>
    <w:rsid w:val="00C90292"/>
    <w:rsid w:val="00C95BD8"/>
    <w:rsid w:val="00CB2B0F"/>
    <w:rsid w:val="00D31162"/>
    <w:rsid w:val="00DA0A08"/>
    <w:rsid w:val="00DA244D"/>
    <w:rsid w:val="00DB78DD"/>
    <w:rsid w:val="00E13DBD"/>
    <w:rsid w:val="00E35FA9"/>
    <w:rsid w:val="00E51E14"/>
    <w:rsid w:val="00E81D02"/>
    <w:rsid w:val="00E967C3"/>
    <w:rsid w:val="00EB04BD"/>
    <w:rsid w:val="00ED5076"/>
    <w:rsid w:val="00EF661D"/>
    <w:rsid w:val="00F15753"/>
    <w:rsid w:val="00F21DAE"/>
    <w:rsid w:val="00F5026C"/>
    <w:rsid w:val="00F63320"/>
    <w:rsid w:val="00FE422F"/>
    <w:rsid w:val="00FE6B91"/>
    <w:rsid w:val="01070FDE"/>
    <w:rsid w:val="013C2D04"/>
    <w:rsid w:val="0140469B"/>
    <w:rsid w:val="01D61EE3"/>
    <w:rsid w:val="01FC0DEC"/>
    <w:rsid w:val="02076DA2"/>
    <w:rsid w:val="02193C7D"/>
    <w:rsid w:val="02221D34"/>
    <w:rsid w:val="023A3FB1"/>
    <w:rsid w:val="0289690E"/>
    <w:rsid w:val="02920E40"/>
    <w:rsid w:val="02B30963"/>
    <w:rsid w:val="031A2C1A"/>
    <w:rsid w:val="032600A0"/>
    <w:rsid w:val="03266208"/>
    <w:rsid w:val="03285222"/>
    <w:rsid w:val="03731505"/>
    <w:rsid w:val="03900591"/>
    <w:rsid w:val="04234EFF"/>
    <w:rsid w:val="044242AC"/>
    <w:rsid w:val="05975E83"/>
    <w:rsid w:val="05A97110"/>
    <w:rsid w:val="0616026F"/>
    <w:rsid w:val="063A201D"/>
    <w:rsid w:val="06975963"/>
    <w:rsid w:val="06A32D45"/>
    <w:rsid w:val="06B77546"/>
    <w:rsid w:val="07935ABE"/>
    <w:rsid w:val="0796496D"/>
    <w:rsid w:val="080617FC"/>
    <w:rsid w:val="0855226E"/>
    <w:rsid w:val="087A673C"/>
    <w:rsid w:val="08CD01E6"/>
    <w:rsid w:val="090A6278"/>
    <w:rsid w:val="09B238E1"/>
    <w:rsid w:val="09F65400"/>
    <w:rsid w:val="09FF6A81"/>
    <w:rsid w:val="0A312850"/>
    <w:rsid w:val="0A514C81"/>
    <w:rsid w:val="0A5948E7"/>
    <w:rsid w:val="0A5A6B63"/>
    <w:rsid w:val="0AB1637E"/>
    <w:rsid w:val="0AC11A8A"/>
    <w:rsid w:val="0B1157D8"/>
    <w:rsid w:val="0B7A1421"/>
    <w:rsid w:val="0BC97E2D"/>
    <w:rsid w:val="0BF26F3B"/>
    <w:rsid w:val="0CE325C9"/>
    <w:rsid w:val="0CFA5FAE"/>
    <w:rsid w:val="0D117156"/>
    <w:rsid w:val="0D22090C"/>
    <w:rsid w:val="0D33527B"/>
    <w:rsid w:val="0D637C7E"/>
    <w:rsid w:val="0D6C7503"/>
    <w:rsid w:val="0D6D6E36"/>
    <w:rsid w:val="0DA844A7"/>
    <w:rsid w:val="0DC86197"/>
    <w:rsid w:val="0DD33846"/>
    <w:rsid w:val="0DD977D7"/>
    <w:rsid w:val="0DDC1A15"/>
    <w:rsid w:val="0E0A3683"/>
    <w:rsid w:val="0E3A5CFC"/>
    <w:rsid w:val="0E404561"/>
    <w:rsid w:val="0EAB509A"/>
    <w:rsid w:val="0ED94D31"/>
    <w:rsid w:val="0F0316C5"/>
    <w:rsid w:val="0F4B520C"/>
    <w:rsid w:val="0F6B319F"/>
    <w:rsid w:val="0F6D7CDF"/>
    <w:rsid w:val="0F851C1B"/>
    <w:rsid w:val="0FA536C3"/>
    <w:rsid w:val="0FB16E3D"/>
    <w:rsid w:val="0FDC6D3F"/>
    <w:rsid w:val="100D067A"/>
    <w:rsid w:val="103E598C"/>
    <w:rsid w:val="10547C0F"/>
    <w:rsid w:val="10703EE5"/>
    <w:rsid w:val="1074706F"/>
    <w:rsid w:val="10B731B1"/>
    <w:rsid w:val="10C1322C"/>
    <w:rsid w:val="10CF0957"/>
    <w:rsid w:val="10E0668C"/>
    <w:rsid w:val="10FD0BF1"/>
    <w:rsid w:val="110A207A"/>
    <w:rsid w:val="11926A87"/>
    <w:rsid w:val="11B137A4"/>
    <w:rsid w:val="11DF54B1"/>
    <w:rsid w:val="11F15B02"/>
    <w:rsid w:val="12225703"/>
    <w:rsid w:val="12431EAB"/>
    <w:rsid w:val="12552FB1"/>
    <w:rsid w:val="128F4AAE"/>
    <w:rsid w:val="12924E05"/>
    <w:rsid w:val="12B45578"/>
    <w:rsid w:val="12CC68E1"/>
    <w:rsid w:val="12DC6933"/>
    <w:rsid w:val="13036273"/>
    <w:rsid w:val="13610FAE"/>
    <w:rsid w:val="13617F45"/>
    <w:rsid w:val="13D74AE1"/>
    <w:rsid w:val="141E70FE"/>
    <w:rsid w:val="14A903F4"/>
    <w:rsid w:val="14E11A09"/>
    <w:rsid w:val="14F94854"/>
    <w:rsid w:val="15324FC1"/>
    <w:rsid w:val="15697364"/>
    <w:rsid w:val="158F7A0A"/>
    <w:rsid w:val="159A6B83"/>
    <w:rsid w:val="159C3858"/>
    <w:rsid w:val="15CC1CDF"/>
    <w:rsid w:val="15D539E2"/>
    <w:rsid w:val="15F831D2"/>
    <w:rsid w:val="160E34D5"/>
    <w:rsid w:val="161E42CC"/>
    <w:rsid w:val="16606928"/>
    <w:rsid w:val="16841CCE"/>
    <w:rsid w:val="16A36252"/>
    <w:rsid w:val="1730090A"/>
    <w:rsid w:val="175F23DF"/>
    <w:rsid w:val="179601D4"/>
    <w:rsid w:val="17BF0A36"/>
    <w:rsid w:val="17DE45D1"/>
    <w:rsid w:val="18216ACF"/>
    <w:rsid w:val="18304012"/>
    <w:rsid w:val="187A1156"/>
    <w:rsid w:val="18EE2260"/>
    <w:rsid w:val="19036A25"/>
    <w:rsid w:val="194C4191"/>
    <w:rsid w:val="195D7C5E"/>
    <w:rsid w:val="196E04F5"/>
    <w:rsid w:val="19BC076F"/>
    <w:rsid w:val="19C521A6"/>
    <w:rsid w:val="19F87CAA"/>
    <w:rsid w:val="19FA7E16"/>
    <w:rsid w:val="1A6015CE"/>
    <w:rsid w:val="1A6B4A16"/>
    <w:rsid w:val="1A820323"/>
    <w:rsid w:val="1AA70D16"/>
    <w:rsid w:val="1AAA584B"/>
    <w:rsid w:val="1ADC5A46"/>
    <w:rsid w:val="1AE62A67"/>
    <w:rsid w:val="1B074450"/>
    <w:rsid w:val="1B125E61"/>
    <w:rsid w:val="1B7E2B38"/>
    <w:rsid w:val="1BAA37DE"/>
    <w:rsid w:val="1BD001AB"/>
    <w:rsid w:val="1BF75659"/>
    <w:rsid w:val="1C227818"/>
    <w:rsid w:val="1CB3780A"/>
    <w:rsid w:val="1D4108CC"/>
    <w:rsid w:val="1D4530C2"/>
    <w:rsid w:val="1D6C2469"/>
    <w:rsid w:val="1D9E6FA5"/>
    <w:rsid w:val="1DB61B5F"/>
    <w:rsid w:val="1F0B2CBB"/>
    <w:rsid w:val="1F124606"/>
    <w:rsid w:val="1F524F7F"/>
    <w:rsid w:val="1FCE08B7"/>
    <w:rsid w:val="1FF44E29"/>
    <w:rsid w:val="1FFC17BB"/>
    <w:rsid w:val="200E014C"/>
    <w:rsid w:val="20405E49"/>
    <w:rsid w:val="2065630E"/>
    <w:rsid w:val="2085216A"/>
    <w:rsid w:val="21131463"/>
    <w:rsid w:val="21197AE0"/>
    <w:rsid w:val="214D0DB0"/>
    <w:rsid w:val="21883067"/>
    <w:rsid w:val="2244525F"/>
    <w:rsid w:val="22502F71"/>
    <w:rsid w:val="226D2517"/>
    <w:rsid w:val="227B3A90"/>
    <w:rsid w:val="227B7E27"/>
    <w:rsid w:val="228F79CF"/>
    <w:rsid w:val="229B635E"/>
    <w:rsid w:val="22B6520F"/>
    <w:rsid w:val="22F44B05"/>
    <w:rsid w:val="231E32CC"/>
    <w:rsid w:val="2354158B"/>
    <w:rsid w:val="23550D15"/>
    <w:rsid w:val="23795E21"/>
    <w:rsid w:val="237E2E93"/>
    <w:rsid w:val="23A63A60"/>
    <w:rsid w:val="23A97A2B"/>
    <w:rsid w:val="23DB68F7"/>
    <w:rsid w:val="240A285E"/>
    <w:rsid w:val="245662FA"/>
    <w:rsid w:val="24661576"/>
    <w:rsid w:val="24883DB4"/>
    <w:rsid w:val="24A06C2C"/>
    <w:rsid w:val="24D57815"/>
    <w:rsid w:val="24DF2AA5"/>
    <w:rsid w:val="25703003"/>
    <w:rsid w:val="25937586"/>
    <w:rsid w:val="25B67237"/>
    <w:rsid w:val="26031D13"/>
    <w:rsid w:val="26116D2F"/>
    <w:rsid w:val="262719DE"/>
    <w:rsid w:val="26B06774"/>
    <w:rsid w:val="26CB11B5"/>
    <w:rsid w:val="270B3C5B"/>
    <w:rsid w:val="27116C58"/>
    <w:rsid w:val="272455A7"/>
    <w:rsid w:val="272815AB"/>
    <w:rsid w:val="27381836"/>
    <w:rsid w:val="27382218"/>
    <w:rsid w:val="27536438"/>
    <w:rsid w:val="277635A2"/>
    <w:rsid w:val="277916AF"/>
    <w:rsid w:val="278F7397"/>
    <w:rsid w:val="2795596F"/>
    <w:rsid w:val="279B386F"/>
    <w:rsid w:val="27C67BA3"/>
    <w:rsid w:val="27D13440"/>
    <w:rsid w:val="28920F8A"/>
    <w:rsid w:val="28B302AF"/>
    <w:rsid w:val="28EC0C53"/>
    <w:rsid w:val="28F531D7"/>
    <w:rsid w:val="294938E1"/>
    <w:rsid w:val="294B4D12"/>
    <w:rsid w:val="294B6883"/>
    <w:rsid w:val="295F549A"/>
    <w:rsid w:val="298B3C70"/>
    <w:rsid w:val="298B5459"/>
    <w:rsid w:val="29AE577F"/>
    <w:rsid w:val="29D52F3C"/>
    <w:rsid w:val="29E46BDC"/>
    <w:rsid w:val="29E95039"/>
    <w:rsid w:val="2A014E91"/>
    <w:rsid w:val="2A4C3B0A"/>
    <w:rsid w:val="2A73715C"/>
    <w:rsid w:val="2A7D4B76"/>
    <w:rsid w:val="2A831603"/>
    <w:rsid w:val="2A8609DD"/>
    <w:rsid w:val="2A872941"/>
    <w:rsid w:val="2A8B53D7"/>
    <w:rsid w:val="2AEF5B7D"/>
    <w:rsid w:val="2B317D14"/>
    <w:rsid w:val="2B515431"/>
    <w:rsid w:val="2BFD7FFA"/>
    <w:rsid w:val="2C121DC4"/>
    <w:rsid w:val="2C2A7FC4"/>
    <w:rsid w:val="2C86481F"/>
    <w:rsid w:val="2CAB7466"/>
    <w:rsid w:val="2D092436"/>
    <w:rsid w:val="2D4B15CD"/>
    <w:rsid w:val="2D5622C8"/>
    <w:rsid w:val="2D8E062C"/>
    <w:rsid w:val="2DA9177C"/>
    <w:rsid w:val="2DD31B4E"/>
    <w:rsid w:val="2E052CF9"/>
    <w:rsid w:val="2E423B26"/>
    <w:rsid w:val="2E956721"/>
    <w:rsid w:val="2E9D3139"/>
    <w:rsid w:val="2EA70937"/>
    <w:rsid w:val="2ECB5940"/>
    <w:rsid w:val="2EDE5A01"/>
    <w:rsid w:val="2F2F52D7"/>
    <w:rsid w:val="2F5567FF"/>
    <w:rsid w:val="2FB70151"/>
    <w:rsid w:val="2FDF792A"/>
    <w:rsid w:val="2FFE60F7"/>
    <w:rsid w:val="301866D6"/>
    <w:rsid w:val="30977032"/>
    <w:rsid w:val="30A40A3D"/>
    <w:rsid w:val="30C11A8B"/>
    <w:rsid w:val="30ED6BBB"/>
    <w:rsid w:val="30F50573"/>
    <w:rsid w:val="30FC2834"/>
    <w:rsid w:val="314A625B"/>
    <w:rsid w:val="31EE5218"/>
    <w:rsid w:val="320B37B2"/>
    <w:rsid w:val="32353230"/>
    <w:rsid w:val="32EC2298"/>
    <w:rsid w:val="32ED153A"/>
    <w:rsid w:val="3306061D"/>
    <w:rsid w:val="336753D4"/>
    <w:rsid w:val="337F4D89"/>
    <w:rsid w:val="338D24A7"/>
    <w:rsid w:val="33A47552"/>
    <w:rsid w:val="33B97152"/>
    <w:rsid w:val="33F8177B"/>
    <w:rsid w:val="34013646"/>
    <w:rsid w:val="34037DA7"/>
    <w:rsid w:val="34060F0A"/>
    <w:rsid w:val="341A5329"/>
    <w:rsid w:val="34452928"/>
    <w:rsid w:val="34C5222B"/>
    <w:rsid w:val="34E5757B"/>
    <w:rsid w:val="34E649C7"/>
    <w:rsid w:val="358C4A27"/>
    <w:rsid w:val="35FB1EAC"/>
    <w:rsid w:val="36585C6A"/>
    <w:rsid w:val="36A948B4"/>
    <w:rsid w:val="36CB63D0"/>
    <w:rsid w:val="36D92A35"/>
    <w:rsid w:val="36F856FD"/>
    <w:rsid w:val="36FF0845"/>
    <w:rsid w:val="37217C10"/>
    <w:rsid w:val="374A0645"/>
    <w:rsid w:val="378E4EB5"/>
    <w:rsid w:val="37C632CD"/>
    <w:rsid w:val="38085ECF"/>
    <w:rsid w:val="384D3366"/>
    <w:rsid w:val="38932A65"/>
    <w:rsid w:val="38AA2929"/>
    <w:rsid w:val="38C066E7"/>
    <w:rsid w:val="38CE7E4E"/>
    <w:rsid w:val="39070862"/>
    <w:rsid w:val="39100650"/>
    <w:rsid w:val="39531928"/>
    <w:rsid w:val="39555CA2"/>
    <w:rsid w:val="39BB0F11"/>
    <w:rsid w:val="39BC1CAB"/>
    <w:rsid w:val="39CD2CCA"/>
    <w:rsid w:val="39F0764B"/>
    <w:rsid w:val="3A2763CA"/>
    <w:rsid w:val="3A457A5C"/>
    <w:rsid w:val="3A7859A3"/>
    <w:rsid w:val="3A813023"/>
    <w:rsid w:val="3AA9012E"/>
    <w:rsid w:val="3AC07EBE"/>
    <w:rsid w:val="3B346DF9"/>
    <w:rsid w:val="3B3743FE"/>
    <w:rsid w:val="3BA73664"/>
    <w:rsid w:val="3BBF2424"/>
    <w:rsid w:val="3C2E2809"/>
    <w:rsid w:val="3C551E44"/>
    <w:rsid w:val="3C787AB5"/>
    <w:rsid w:val="3CC443FC"/>
    <w:rsid w:val="3D166AC7"/>
    <w:rsid w:val="3D7D3598"/>
    <w:rsid w:val="3D9E72F6"/>
    <w:rsid w:val="3E294165"/>
    <w:rsid w:val="3E3216E3"/>
    <w:rsid w:val="3E606E94"/>
    <w:rsid w:val="3EA523CF"/>
    <w:rsid w:val="3EAA3385"/>
    <w:rsid w:val="3ED06D91"/>
    <w:rsid w:val="3ED97CB9"/>
    <w:rsid w:val="3EF935AA"/>
    <w:rsid w:val="3EFC43CC"/>
    <w:rsid w:val="3F09181A"/>
    <w:rsid w:val="3F712691"/>
    <w:rsid w:val="3F93170F"/>
    <w:rsid w:val="3FC25858"/>
    <w:rsid w:val="3FCE07A0"/>
    <w:rsid w:val="3FD4156C"/>
    <w:rsid w:val="3FD85DC7"/>
    <w:rsid w:val="3FE6753F"/>
    <w:rsid w:val="40316EED"/>
    <w:rsid w:val="408E38A0"/>
    <w:rsid w:val="409F44C8"/>
    <w:rsid w:val="40AB617D"/>
    <w:rsid w:val="40B91525"/>
    <w:rsid w:val="40BB1DCE"/>
    <w:rsid w:val="40D85AB4"/>
    <w:rsid w:val="41155CE2"/>
    <w:rsid w:val="415F6354"/>
    <w:rsid w:val="416254D7"/>
    <w:rsid w:val="416F4FA2"/>
    <w:rsid w:val="41A17326"/>
    <w:rsid w:val="41C9331A"/>
    <w:rsid w:val="41DE1991"/>
    <w:rsid w:val="42570917"/>
    <w:rsid w:val="42687B79"/>
    <w:rsid w:val="427B5FDB"/>
    <w:rsid w:val="42AA66BF"/>
    <w:rsid w:val="42C42EC3"/>
    <w:rsid w:val="42E4144B"/>
    <w:rsid w:val="4306048F"/>
    <w:rsid w:val="4349112D"/>
    <w:rsid w:val="435C028B"/>
    <w:rsid w:val="438D28A0"/>
    <w:rsid w:val="43E47BC0"/>
    <w:rsid w:val="441B6FE6"/>
    <w:rsid w:val="44242A5F"/>
    <w:rsid w:val="448B0AFE"/>
    <w:rsid w:val="448D0996"/>
    <w:rsid w:val="44AB18E7"/>
    <w:rsid w:val="450535D3"/>
    <w:rsid w:val="453E108F"/>
    <w:rsid w:val="45505C94"/>
    <w:rsid w:val="45665253"/>
    <w:rsid w:val="4573792E"/>
    <w:rsid w:val="45A4490F"/>
    <w:rsid w:val="45B2548A"/>
    <w:rsid w:val="461B5F45"/>
    <w:rsid w:val="461C59C5"/>
    <w:rsid w:val="46424F9C"/>
    <w:rsid w:val="46814B29"/>
    <w:rsid w:val="46E16436"/>
    <w:rsid w:val="47382F49"/>
    <w:rsid w:val="473C0DE3"/>
    <w:rsid w:val="4764189D"/>
    <w:rsid w:val="47812C28"/>
    <w:rsid w:val="478E6EB1"/>
    <w:rsid w:val="47AA2188"/>
    <w:rsid w:val="480D2B91"/>
    <w:rsid w:val="481B3BF7"/>
    <w:rsid w:val="487A096E"/>
    <w:rsid w:val="488A5FA8"/>
    <w:rsid w:val="48964AA7"/>
    <w:rsid w:val="495763CB"/>
    <w:rsid w:val="497C2CAF"/>
    <w:rsid w:val="499B6D55"/>
    <w:rsid w:val="49A00412"/>
    <w:rsid w:val="49C8062E"/>
    <w:rsid w:val="4A3322D3"/>
    <w:rsid w:val="4A842294"/>
    <w:rsid w:val="4AA35CEC"/>
    <w:rsid w:val="4AC23EA7"/>
    <w:rsid w:val="4B472105"/>
    <w:rsid w:val="4B644D66"/>
    <w:rsid w:val="4B6757A0"/>
    <w:rsid w:val="4B6C02F4"/>
    <w:rsid w:val="4BB42F66"/>
    <w:rsid w:val="4C296258"/>
    <w:rsid w:val="4C2E1EC8"/>
    <w:rsid w:val="4C8E351A"/>
    <w:rsid w:val="4CFD3861"/>
    <w:rsid w:val="4D031314"/>
    <w:rsid w:val="4D0F3EA9"/>
    <w:rsid w:val="4D2C432E"/>
    <w:rsid w:val="4D91271B"/>
    <w:rsid w:val="4D935CED"/>
    <w:rsid w:val="4DAA7D0E"/>
    <w:rsid w:val="4DBE6E97"/>
    <w:rsid w:val="4DDD2CF6"/>
    <w:rsid w:val="4DF73239"/>
    <w:rsid w:val="4E1F7904"/>
    <w:rsid w:val="4E21275C"/>
    <w:rsid w:val="4E92745A"/>
    <w:rsid w:val="4EB551D1"/>
    <w:rsid w:val="4ED34A6A"/>
    <w:rsid w:val="4EE270E4"/>
    <w:rsid w:val="4FAC5BD6"/>
    <w:rsid w:val="4FC71508"/>
    <w:rsid w:val="4FD85EB6"/>
    <w:rsid w:val="504A5A83"/>
    <w:rsid w:val="506B77E6"/>
    <w:rsid w:val="50AD4F23"/>
    <w:rsid w:val="50B4362B"/>
    <w:rsid w:val="50B55DB6"/>
    <w:rsid w:val="50CC02DE"/>
    <w:rsid w:val="51413B89"/>
    <w:rsid w:val="514E1CD1"/>
    <w:rsid w:val="516A099D"/>
    <w:rsid w:val="5177460F"/>
    <w:rsid w:val="51AB53A7"/>
    <w:rsid w:val="51C2287D"/>
    <w:rsid w:val="51FF2B43"/>
    <w:rsid w:val="52046E9E"/>
    <w:rsid w:val="52112E33"/>
    <w:rsid w:val="521744B7"/>
    <w:rsid w:val="521E7806"/>
    <w:rsid w:val="525E1806"/>
    <w:rsid w:val="527E3194"/>
    <w:rsid w:val="528048EC"/>
    <w:rsid w:val="52A13E4D"/>
    <w:rsid w:val="52A34D06"/>
    <w:rsid w:val="52CC2FEA"/>
    <w:rsid w:val="52DF7A93"/>
    <w:rsid w:val="52E81686"/>
    <w:rsid w:val="534C6729"/>
    <w:rsid w:val="53647EA1"/>
    <w:rsid w:val="538E7F92"/>
    <w:rsid w:val="539C6B7E"/>
    <w:rsid w:val="53B71D46"/>
    <w:rsid w:val="53C72F43"/>
    <w:rsid w:val="53CF3785"/>
    <w:rsid w:val="54104E97"/>
    <w:rsid w:val="54A82B41"/>
    <w:rsid w:val="54A92B03"/>
    <w:rsid w:val="54E571E4"/>
    <w:rsid w:val="54FF1DAE"/>
    <w:rsid w:val="55341587"/>
    <w:rsid w:val="553A5A89"/>
    <w:rsid w:val="55452361"/>
    <w:rsid w:val="555A2E88"/>
    <w:rsid w:val="55832E0C"/>
    <w:rsid w:val="55B542A3"/>
    <w:rsid w:val="55DB4F22"/>
    <w:rsid w:val="56380E65"/>
    <w:rsid w:val="563F7493"/>
    <w:rsid w:val="564C36D9"/>
    <w:rsid w:val="566B76DB"/>
    <w:rsid w:val="568F5616"/>
    <w:rsid w:val="56A96AC2"/>
    <w:rsid w:val="56CF67D4"/>
    <w:rsid w:val="56EA64A3"/>
    <w:rsid w:val="579841D5"/>
    <w:rsid w:val="57B66AC0"/>
    <w:rsid w:val="57EB2DBD"/>
    <w:rsid w:val="57EB5026"/>
    <w:rsid w:val="57ED37EC"/>
    <w:rsid w:val="57F72E82"/>
    <w:rsid w:val="57F84C05"/>
    <w:rsid w:val="58096C31"/>
    <w:rsid w:val="583776C4"/>
    <w:rsid w:val="583A1A87"/>
    <w:rsid w:val="584F41C1"/>
    <w:rsid w:val="58736970"/>
    <w:rsid w:val="587A6DB2"/>
    <w:rsid w:val="589B7B75"/>
    <w:rsid w:val="58A0129F"/>
    <w:rsid w:val="58C360E3"/>
    <w:rsid w:val="58D44F68"/>
    <w:rsid w:val="58DD301C"/>
    <w:rsid w:val="59CD6328"/>
    <w:rsid w:val="59D23674"/>
    <w:rsid w:val="5A38207D"/>
    <w:rsid w:val="5A4D5A19"/>
    <w:rsid w:val="5ACF4227"/>
    <w:rsid w:val="5AE50221"/>
    <w:rsid w:val="5AF65332"/>
    <w:rsid w:val="5B090639"/>
    <w:rsid w:val="5B0A7748"/>
    <w:rsid w:val="5B261225"/>
    <w:rsid w:val="5B344278"/>
    <w:rsid w:val="5B5733B2"/>
    <w:rsid w:val="5B7F4E9E"/>
    <w:rsid w:val="5BB03E24"/>
    <w:rsid w:val="5BF50205"/>
    <w:rsid w:val="5C2E7673"/>
    <w:rsid w:val="5C304561"/>
    <w:rsid w:val="5C5569F8"/>
    <w:rsid w:val="5CEF0DE6"/>
    <w:rsid w:val="5D0708F2"/>
    <w:rsid w:val="5D3E2775"/>
    <w:rsid w:val="5D966B63"/>
    <w:rsid w:val="5DC43AA3"/>
    <w:rsid w:val="5E684C30"/>
    <w:rsid w:val="5ED91987"/>
    <w:rsid w:val="5EDF4401"/>
    <w:rsid w:val="5EEB0C59"/>
    <w:rsid w:val="5F0F3C79"/>
    <w:rsid w:val="5F116B9E"/>
    <w:rsid w:val="5F3D3501"/>
    <w:rsid w:val="5FB27698"/>
    <w:rsid w:val="5FB43D1D"/>
    <w:rsid w:val="5FBB6E8D"/>
    <w:rsid w:val="5FBF4D56"/>
    <w:rsid w:val="5FEB316D"/>
    <w:rsid w:val="60024CD2"/>
    <w:rsid w:val="605D3BEF"/>
    <w:rsid w:val="60635A4A"/>
    <w:rsid w:val="607744C8"/>
    <w:rsid w:val="60C45EA9"/>
    <w:rsid w:val="610A52EE"/>
    <w:rsid w:val="61496419"/>
    <w:rsid w:val="61526AE4"/>
    <w:rsid w:val="615F1D53"/>
    <w:rsid w:val="61756F32"/>
    <w:rsid w:val="620F5622"/>
    <w:rsid w:val="62521720"/>
    <w:rsid w:val="62B42996"/>
    <w:rsid w:val="62DB6218"/>
    <w:rsid w:val="63010A25"/>
    <w:rsid w:val="63AF0E9F"/>
    <w:rsid w:val="6443563D"/>
    <w:rsid w:val="645165A8"/>
    <w:rsid w:val="645D6F0A"/>
    <w:rsid w:val="64751C1D"/>
    <w:rsid w:val="647779D6"/>
    <w:rsid w:val="64792653"/>
    <w:rsid w:val="65741B1D"/>
    <w:rsid w:val="65741F96"/>
    <w:rsid w:val="65831B35"/>
    <w:rsid w:val="658B3E9F"/>
    <w:rsid w:val="658D7093"/>
    <w:rsid w:val="65B37FDF"/>
    <w:rsid w:val="660D0569"/>
    <w:rsid w:val="66152C0D"/>
    <w:rsid w:val="66AD46D1"/>
    <w:rsid w:val="66B57CB9"/>
    <w:rsid w:val="67704721"/>
    <w:rsid w:val="678F0169"/>
    <w:rsid w:val="67F973A0"/>
    <w:rsid w:val="67FA0AA9"/>
    <w:rsid w:val="68120C61"/>
    <w:rsid w:val="68322039"/>
    <w:rsid w:val="688271E0"/>
    <w:rsid w:val="689D383C"/>
    <w:rsid w:val="68D57C0D"/>
    <w:rsid w:val="68DF2DF7"/>
    <w:rsid w:val="68F07B2B"/>
    <w:rsid w:val="68F11E07"/>
    <w:rsid w:val="6931526A"/>
    <w:rsid w:val="695A72B2"/>
    <w:rsid w:val="69AB420D"/>
    <w:rsid w:val="69CD0A48"/>
    <w:rsid w:val="6AB40E66"/>
    <w:rsid w:val="6AC961A9"/>
    <w:rsid w:val="6B3233AB"/>
    <w:rsid w:val="6B363AF3"/>
    <w:rsid w:val="6B8A5DB4"/>
    <w:rsid w:val="6B9C09F4"/>
    <w:rsid w:val="6BE301E3"/>
    <w:rsid w:val="6BE30ECF"/>
    <w:rsid w:val="6CA972E1"/>
    <w:rsid w:val="6D296BCD"/>
    <w:rsid w:val="6DF3589F"/>
    <w:rsid w:val="6E6D7EB0"/>
    <w:rsid w:val="6E845641"/>
    <w:rsid w:val="6E8F35ED"/>
    <w:rsid w:val="6EA21686"/>
    <w:rsid w:val="6EB3086E"/>
    <w:rsid w:val="6F260540"/>
    <w:rsid w:val="6FA74407"/>
    <w:rsid w:val="6FA807F6"/>
    <w:rsid w:val="6FAA4345"/>
    <w:rsid w:val="6FF77647"/>
    <w:rsid w:val="70083E3C"/>
    <w:rsid w:val="70094E42"/>
    <w:rsid w:val="704F7D2C"/>
    <w:rsid w:val="708620CA"/>
    <w:rsid w:val="70A61CD4"/>
    <w:rsid w:val="716E4294"/>
    <w:rsid w:val="718800BE"/>
    <w:rsid w:val="71F54D82"/>
    <w:rsid w:val="721B3A92"/>
    <w:rsid w:val="727E5D65"/>
    <w:rsid w:val="72D3389C"/>
    <w:rsid w:val="72EE1A33"/>
    <w:rsid w:val="73626AEE"/>
    <w:rsid w:val="737959F4"/>
    <w:rsid w:val="737F2B9B"/>
    <w:rsid w:val="739025A9"/>
    <w:rsid w:val="739B5857"/>
    <w:rsid w:val="73C76A13"/>
    <w:rsid w:val="73CA12FD"/>
    <w:rsid w:val="73DA6D3D"/>
    <w:rsid w:val="73F83407"/>
    <w:rsid w:val="7420222F"/>
    <w:rsid w:val="746C12C6"/>
    <w:rsid w:val="7480551D"/>
    <w:rsid w:val="749B34CF"/>
    <w:rsid w:val="75267258"/>
    <w:rsid w:val="75CF1BA6"/>
    <w:rsid w:val="760310DF"/>
    <w:rsid w:val="76190F60"/>
    <w:rsid w:val="762B3721"/>
    <w:rsid w:val="7631237F"/>
    <w:rsid w:val="765D354E"/>
    <w:rsid w:val="76742608"/>
    <w:rsid w:val="770F4F22"/>
    <w:rsid w:val="772F3736"/>
    <w:rsid w:val="77334242"/>
    <w:rsid w:val="774C7F95"/>
    <w:rsid w:val="775569EC"/>
    <w:rsid w:val="777D3300"/>
    <w:rsid w:val="77B0716B"/>
    <w:rsid w:val="77F213A9"/>
    <w:rsid w:val="780E5084"/>
    <w:rsid w:val="78116C5A"/>
    <w:rsid w:val="78244EE0"/>
    <w:rsid w:val="78440AE9"/>
    <w:rsid w:val="784820A5"/>
    <w:rsid w:val="78592128"/>
    <w:rsid w:val="785926CF"/>
    <w:rsid w:val="78AD7D49"/>
    <w:rsid w:val="791A191A"/>
    <w:rsid w:val="795D164F"/>
    <w:rsid w:val="79A358D8"/>
    <w:rsid w:val="79C77024"/>
    <w:rsid w:val="7A186C28"/>
    <w:rsid w:val="7A1C452B"/>
    <w:rsid w:val="7A2D4747"/>
    <w:rsid w:val="7A451A97"/>
    <w:rsid w:val="7A640128"/>
    <w:rsid w:val="7A646F5D"/>
    <w:rsid w:val="7A9C521D"/>
    <w:rsid w:val="7ADD034F"/>
    <w:rsid w:val="7B0702EA"/>
    <w:rsid w:val="7B2D00A8"/>
    <w:rsid w:val="7BF06DD3"/>
    <w:rsid w:val="7BFC2830"/>
    <w:rsid w:val="7C006552"/>
    <w:rsid w:val="7C0B0332"/>
    <w:rsid w:val="7C1C23E5"/>
    <w:rsid w:val="7C2B301C"/>
    <w:rsid w:val="7C4A1DEB"/>
    <w:rsid w:val="7C5F042A"/>
    <w:rsid w:val="7C777C83"/>
    <w:rsid w:val="7CAA213E"/>
    <w:rsid w:val="7CF13E93"/>
    <w:rsid w:val="7D4529C6"/>
    <w:rsid w:val="7D8A7724"/>
    <w:rsid w:val="7D8C76CA"/>
    <w:rsid w:val="7D95516E"/>
    <w:rsid w:val="7DBD1CBF"/>
    <w:rsid w:val="7DCD3DDA"/>
    <w:rsid w:val="7E202C86"/>
    <w:rsid w:val="7E536542"/>
    <w:rsid w:val="7EA67F5A"/>
    <w:rsid w:val="7EB27534"/>
    <w:rsid w:val="7EB71B53"/>
    <w:rsid w:val="7ED13CD2"/>
    <w:rsid w:val="7F7926CD"/>
    <w:rsid w:val="7F7C582E"/>
    <w:rsid w:val="7F9B5065"/>
    <w:rsid w:val="7FB51217"/>
    <w:rsid w:val="7FCB1D86"/>
    <w:rsid w:val="7FF02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2"/>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6"/>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9"/>
    <w:unhideWhenUsed/>
    <w:qFormat/>
    <w:uiPriority w:val="0"/>
    <w:pPr>
      <w:keepNext/>
      <w:keepLines/>
      <w:spacing w:before="260" w:after="260" w:line="413" w:lineRule="auto"/>
      <w:outlineLvl w:val="2"/>
    </w:pPr>
    <w:rPr>
      <w:rFonts w:eastAsia="楷体"/>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8"/>
    <w:semiHidden/>
    <w:unhideWhenUsed/>
    <w:qFormat/>
    <w:uiPriority w:val="99"/>
    <w:pPr>
      <w:spacing w:line="240" w:lineRule="auto"/>
    </w:pPr>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semiHidden/>
    <w:unhideWhenUsed/>
    <w:qFormat/>
    <w:uiPriority w:val="99"/>
    <w:rPr>
      <w:color w:val="0000FF"/>
      <w:u w:val="single"/>
    </w:rPr>
  </w:style>
  <w:style w:type="character" w:customStyle="1" w:styleId="12">
    <w:name w:val="标题 1 Char"/>
    <w:link w:val="2"/>
    <w:qFormat/>
    <w:uiPriority w:val="0"/>
    <w:rPr>
      <w:rFonts w:eastAsia="宋体"/>
      <w:b/>
      <w:kern w:val="44"/>
      <w:sz w:val="28"/>
    </w:rPr>
  </w:style>
  <w:style w:type="character" w:customStyle="1" w:styleId="13">
    <w:name w:val="页眉 Char"/>
    <w:basedOn w:val="10"/>
    <w:link w:val="7"/>
    <w:qFormat/>
    <w:uiPriority w:val="99"/>
    <w:rPr>
      <w:kern w:val="2"/>
      <w:sz w:val="18"/>
      <w:szCs w:val="18"/>
    </w:rPr>
  </w:style>
  <w:style w:type="character" w:customStyle="1" w:styleId="14">
    <w:name w:val="页脚 Char"/>
    <w:basedOn w:val="10"/>
    <w:link w:val="6"/>
    <w:qFormat/>
    <w:uiPriority w:val="99"/>
    <w:rPr>
      <w:kern w:val="2"/>
      <w:sz w:val="18"/>
      <w:szCs w:val="18"/>
    </w:rPr>
  </w:style>
  <w:style w:type="paragraph" w:customStyle="1" w:styleId="15">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6">
    <w:name w:val="标题 2 Char"/>
    <w:link w:val="3"/>
    <w:qFormat/>
    <w:uiPriority w:val="0"/>
    <w:rPr>
      <w:rFonts w:ascii="Arial" w:hAnsi="Arial" w:eastAsia="黑体"/>
      <w:sz w:val="24"/>
    </w:rPr>
  </w:style>
  <w:style w:type="character" w:customStyle="1" w:styleId="17">
    <w:name w:val="font41"/>
    <w:basedOn w:val="10"/>
    <w:qFormat/>
    <w:uiPriority w:val="0"/>
    <w:rPr>
      <w:rFonts w:hint="eastAsia" w:ascii="宋体" w:hAnsi="宋体" w:eastAsia="宋体" w:cs="宋体"/>
      <w:color w:val="000000"/>
      <w:sz w:val="16"/>
      <w:szCs w:val="16"/>
      <w:u w:val="none"/>
    </w:rPr>
  </w:style>
  <w:style w:type="character" w:customStyle="1" w:styleId="18">
    <w:name w:val="font31"/>
    <w:basedOn w:val="10"/>
    <w:qFormat/>
    <w:uiPriority w:val="0"/>
    <w:rPr>
      <w:rFonts w:hint="default" w:ascii="Times New Roman" w:hAnsi="Times New Roman" w:cs="Times New Roman"/>
      <w:color w:val="000000"/>
      <w:sz w:val="16"/>
      <w:szCs w:val="16"/>
      <w:u w:val="none"/>
    </w:rPr>
  </w:style>
  <w:style w:type="character" w:customStyle="1" w:styleId="19">
    <w:name w:val="标题 3 Char"/>
    <w:link w:val="4"/>
    <w:qFormat/>
    <w:uiPriority w:val="0"/>
    <w:rPr>
      <w:rFonts w:eastAsia="楷体"/>
    </w:rPr>
  </w:style>
  <w:style w:type="paragraph" w:customStyle="1" w:styleId="20">
    <w:name w:val="标题0"/>
    <w:basedOn w:val="3"/>
    <w:qFormat/>
    <w:uiPriority w:val="0"/>
    <w:pPr>
      <w:jc w:val="center"/>
    </w:pPr>
    <w:rPr>
      <w:rFonts w:eastAsia="宋体"/>
      <w:b/>
      <w:sz w:val="36"/>
    </w:rPr>
  </w:style>
  <w:style w:type="character" w:customStyle="1" w:styleId="21">
    <w:name w:val="font91"/>
    <w:basedOn w:val="10"/>
    <w:qFormat/>
    <w:uiPriority w:val="0"/>
    <w:rPr>
      <w:rFonts w:hint="default" w:ascii="Times New Roman" w:hAnsi="Times New Roman" w:cs="Times New Roman"/>
      <w:color w:val="000000"/>
      <w:sz w:val="16"/>
      <w:szCs w:val="16"/>
      <w:u w:val="none"/>
    </w:rPr>
  </w:style>
  <w:style w:type="character" w:customStyle="1" w:styleId="22">
    <w:name w:val="font21"/>
    <w:basedOn w:val="10"/>
    <w:qFormat/>
    <w:uiPriority w:val="0"/>
    <w:rPr>
      <w:rFonts w:hint="eastAsia" w:ascii="宋体" w:hAnsi="宋体" w:eastAsia="宋体" w:cs="宋体"/>
      <w:color w:val="000000"/>
      <w:sz w:val="16"/>
      <w:szCs w:val="16"/>
      <w:u w:val="none"/>
    </w:rPr>
  </w:style>
  <w:style w:type="character" w:customStyle="1" w:styleId="23">
    <w:name w:val="font81"/>
    <w:basedOn w:val="10"/>
    <w:qFormat/>
    <w:uiPriority w:val="0"/>
    <w:rPr>
      <w:rFonts w:hint="default" w:ascii="Times New Roman" w:hAnsi="Times New Roman" w:cs="Times New Roman"/>
      <w:color w:val="000000"/>
      <w:sz w:val="16"/>
      <w:szCs w:val="16"/>
      <w:u w:val="none"/>
    </w:rPr>
  </w:style>
  <w:style w:type="character" w:customStyle="1" w:styleId="24">
    <w:name w:val="font11"/>
    <w:basedOn w:val="10"/>
    <w:qFormat/>
    <w:uiPriority w:val="0"/>
    <w:rPr>
      <w:rFonts w:hint="eastAsia" w:ascii="宋体" w:hAnsi="宋体" w:eastAsia="宋体" w:cs="宋体"/>
      <w:color w:val="000000"/>
      <w:sz w:val="16"/>
      <w:szCs w:val="16"/>
      <w:u w:val="none"/>
    </w:rPr>
  </w:style>
  <w:style w:type="paragraph" w:customStyle="1" w:styleId="25">
    <w:name w:val="联系人信息"/>
    <w:basedOn w:val="1"/>
    <w:qFormat/>
    <w:uiPriority w:val="4"/>
    <w:pPr>
      <w:spacing w:before="360"/>
      <w:contextualSpacing/>
      <w:jc w:val="center"/>
    </w:pPr>
  </w:style>
  <w:style w:type="character" w:customStyle="1" w:styleId="26">
    <w:name w:val="font112"/>
    <w:basedOn w:val="10"/>
    <w:qFormat/>
    <w:uiPriority w:val="0"/>
    <w:rPr>
      <w:rFonts w:hint="default" w:ascii="Times New Roman" w:hAnsi="Times New Roman" w:cs="Times New Roman"/>
      <w:color w:val="000000"/>
      <w:sz w:val="16"/>
      <w:szCs w:val="16"/>
      <w:u w:val="none"/>
    </w:rPr>
  </w:style>
  <w:style w:type="character" w:customStyle="1" w:styleId="27">
    <w:name w:val="font51"/>
    <w:basedOn w:val="10"/>
    <w:qFormat/>
    <w:uiPriority w:val="0"/>
    <w:rPr>
      <w:rFonts w:hint="eastAsia" w:ascii="宋体" w:hAnsi="宋体" w:eastAsia="宋体" w:cs="宋体"/>
      <w:color w:val="000000"/>
      <w:sz w:val="16"/>
      <w:szCs w:val="16"/>
      <w:u w:val="none"/>
    </w:rPr>
  </w:style>
  <w:style w:type="character" w:customStyle="1" w:styleId="28">
    <w:name w:val="批注框文本 Char"/>
    <w:basedOn w:val="10"/>
    <w:link w:val="5"/>
    <w:semiHidden/>
    <w:qFormat/>
    <w:uiPriority w:val="99"/>
    <w:rPr>
      <w:rFonts w:eastAsia="仿宋"/>
      <w:kern w:val="2"/>
      <w:sz w:val="18"/>
      <w:szCs w:val="18"/>
    </w:rPr>
  </w:style>
  <w:style w:type="character" w:customStyle="1" w:styleId="29">
    <w:name w:val="font61"/>
    <w:basedOn w:val="10"/>
    <w:qFormat/>
    <w:uiPriority w:val="0"/>
    <w:rPr>
      <w:rFonts w:hint="eastAsia" w:ascii="宋体" w:hAnsi="宋体" w:eastAsia="宋体" w:cs="宋体"/>
      <w:color w:val="000000"/>
      <w:sz w:val="16"/>
      <w:szCs w:val="16"/>
      <w:u w:val="none"/>
    </w:rPr>
  </w:style>
  <w:style w:type="character" w:customStyle="1" w:styleId="30">
    <w:name w:val="font7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F398B-7F97-4FC0-9DDD-1D1E142FD33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2251</Words>
  <Characters>12837</Characters>
  <Lines>106</Lines>
  <Paragraphs>30</Paragraphs>
  <TotalTime>0</TotalTime>
  <ScaleCrop>false</ScaleCrop>
  <LinksUpToDate>false</LinksUpToDate>
  <CharactersWithSpaces>15058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婷婷王</cp:lastModifiedBy>
  <cp:lastPrinted>2018-05-26T02:51:00Z</cp:lastPrinted>
  <dcterms:modified xsi:type="dcterms:W3CDTF">2021-06-25T12:57:06Z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CC63214AE090436CADF7C65949FA83DA</vt:lpwstr>
  </property>
</Properties>
</file>